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57F77A8B" w:rsidR="00FE1945" w:rsidRPr="00563A3D" w:rsidRDefault="00030BA5" w:rsidP="00FE1945">
          <w:pPr>
            <w:rPr>
              <w:rStyle w:val="SchoolName"/>
              <w:color w:val="1F4E79"/>
            </w:rPr>
          </w:pPr>
          <w:r>
            <w:rPr>
              <w:rStyle w:val="SchoolName"/>
              <w:color w:val="1F4E79"/>
            </w:rPr>
            <w:t>North Ainslie Primary School</w:t>
          </w:r>
        </w:p>
      </w:sdtContent>
    </w:sdt>
    <w:p w14:paraId="63330FCF" w14:textId="285D352B"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030BA5">
            <w:t>North Canberra/ Gungahlin</w:t>
          </w:r>
        </w:sdtContent>
      </w:sdt>
    </w:p>
    <w:p w14:paraId="38F253B0" w14:textId="3155CFC7" w:rsidR="00FE1945" w:rsidRDefault="00846E51" w:rsidP="00FE1945">
      <w:pPr>
        <w:pStyle w:val="Title"/>
        <w:jc w:val="left"/>
      </w:pPr>
      <w:r>
        <w:t>Impact</w:t>
      </w:r>
      <w:r w:rsidR="00FE1945" w:rsidRPr="005F3926">
        <w:t xml:space="preserve"> </w:t>
      </w:r>
      <w:r w:rsidR="00B10319">
        <w:t xml:space="preserve">Report </w:t>
      </w:r>
      <w:r w:rsidR="00FE1945">
        <w:t>20</w:t>
      </w:r>
      <w:r w:rsidR="00030BA5">
        <w:t>19</w:t>
      </w:r>
    </w:p>
    <w:p w14:paraId="43815876" w14:textId="77777777" w:rsidR="00E434FA" w:rsidRPr="001B2E33" w:rsidRDefault="00E434FA" w:rsidP="001B2E33">
      <w:pPr>
        <w:pStyle w:val="Heading1"/>
      </w:pPr>
      <w:r w:rsidRPr="001B2E33">
        <w:t>The purpose of this document</w:t>
      </w:r>
    </w:p>
    <w:p w14:paraId="542B7252" w14:textId="69917D43"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160F71E8"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5B1ED9">
      <w:pPr>
        <w:pStyle w:val="BodyText"/>
        <w:spacing w:after="0"/>
      </w:pPr>
    </w:p>
    <w:p w14:paraId="0E4AE3ED" w14:textId="125D3BB1"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 – Priorit</w:t>
      </w:r>
      <w:r w:rsidR="005F36B4">
        <w:t>y 1 and 2 (</w:t>
      </w:r>
      <w:r w:rsidRPr="00132917">
        <w:t>see reporting for detail):</w:t>
      </w:r>
    </w:p>
    <w:p w14:paraId="1608A608" w14:textId="7BB44CCE" w:rsidR="005B1ED9" w:rsidRDefault="00030BA5" w:rsidP="005B1ED9">
      <w:pPr>
        <w:pStyle w:val="ListBullet"/>
      </w:pPr>
      <w:r>
        <w:t xml:space="preserve">Further develop the RTI processes and model within the </w:t>
      </w:r>
      <w:r w:rsidR="004D4682">
        <w:t>school to meet the needs of all students</w:t>
      </w:r>
    </w:p>
    <w:p w14:paraId="2EE53879" w14:textId="77777777" w:rsidR="005B1ED9" w:rsidRDefault="005B1ED9" w:rsidP="005B1ED9">
      <w:pPr>
        <w:pStyle w:val="ListBullet"/>
        <w:numPr>
          <w:ilvl w:val="0"/>
          <w:numId w:val="0"/>
        </w:numPr>
        <w:ind w:left="360" w:hanging="360"/>
      </w:pPr>
    </w:p>
    <w:p w14:paraId="6A16A7D4" w14:textId="7EF19C5D"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5B1ED9">
      <w:pPr>
        <w:pStyle w:val="BodyText"/>
        <w:spacing w:after="0"/>
        <w:rPr>
          <w:i/>
        </w:rPr>
      </w:pPr>
      <w:r w:rsidRPr="001B2E33">
        <w:rPr>
          <w:i/>
        </w:rPr>
        <w:t>To facilitate high quality teaching in ACT public schools and strengthen educational outcomes.</w:t>
      </w:r>
    </w:p>
    <w:p w14:paraId="5A54A98A" w14:textId="4C3B0B5D" w:rsidR="00300F72" w:rsidRPr="00300F72" w:rsidRDefault="00300F72" w:rsidP="00300F72">
      <w:pPr>
        <w:pStyle w:val="BodyText"/>
      </w:pPr>
    </w:p>
    <w:p w14:paraId="14162F1A" w14:textId="0C6922E3"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030BA5">
        <w:t>1 and 2</w:t>
      </w:r>
      <w:r w:rsidRPr="00132917">
        <w:t xml:space="preserve"> (see reporting for detail):</w:t>
      </w:r>
    </w:p>
    <w:p w14:paraId="545A9337" w14:textId="4385EFA1" w:rsidR="00030BA5" w:rsidRDefault="00030BA5" w:rsidP="005F36B4">
      <w:pPr>
        <w:pStyle w:val="ListBullet"/>
      </w:pPr>
      <w:r>
        <w:t>Further develop the PLC within the school</w:t>
      </w:r>
      <w:r w:rsidR="004D4682">
        <w:t xml:space="preserve"> to drive the school improvement priorities</w:t>
      </w:r>
    </w:p>
    <w:p w14:paraId="631A37B2" w14:textId="77777777" w:rsidR="00030BA5" w:rsidRPr="00300F72" w:rsidRDefault="00030BA5" w:rsidP="00030BA5">
      <w:pPr>
        <w:pStyle w:val="ListBullet"/>
      </w:pPr>
      <w:r>
        <w:t xml:space="preserve">Participation in the Early Literacy Project with Christine </w:t>
      </w:r>
      <w:proofErr w:type="spellStart"/>
      <w:r>
        <w:t>Topfer</w:t>
      </w:r>
      <w:proofErr w:type="spellEnd"/>
    </w:p>
    <w:p w14:paraId="0A33DC2F" w14:textId="061AFCA2" w:rsidR="005F36B4" w:rsidRDefault="005F36B4" w:rsidP="005F36B4">
      <w:pPr>
        <w:pStyle w:val="ListBullet"/>
      </w:pPr>
      <w:r>
        <w:t xml:space="preserve">Continued </w:t>
      </w:r>
      <w:r w:rsidR="00030BA5">
        <w:t xml:space="preserve">development of the </w:t>
      </w:r>
      <w:r>
        <w:t>literacy and maths committees to drive the improvement of writing and maths across the school</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36ECB319"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 – Priority</w:t>
      </w:r>
      <w:r w:rsidR="005B1ED9">
        <w:t xml:space="preserve"> 1 and 2</w:t>
      </w:r>
      <w:r w:rsidR="00F12ECF">
        <w:t xml:space="preserve"> (see reporting f</w:t>
      </w:r>
      <w:r w:rsidRPr="00132917">
        <w:t>or detail):</w:t>
      </w:r>
    </w:p>
    <w:p w14:paraId="200F6B8B" w14:textId="3BFF905A" w:rsidR="0093040B" w:rsidRDefault="00030BA5" w:rsidP="001B26EA">
      <w:pPr>
        <w:pStyle w:val="ListBullet"/>
      </w:pPr>
      <w:r>
        <w:t>Further develop the PLC within the school</w:t>
      </w:r>
      <w:r w:rsidR="004D4682">
        <w:t xml:space="preserve"> drive the school improvement priorities</w:t>
      </w:r>
    </w:p>
    <w:p w14:paraId="5651966C" w14:textId="14995C0C" w:rsidR="004D4682" w:rsidRDefault="004D4682" w:rsidP="001B26EA">
      <w:pPr>
        <w:pStyle w:val="ListBullet"/>
      </w:pPr>
      <w:r>
        <w:t>Further develop the use of individualised feedback and individual goal setting for all students</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6B61BE73"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6951F6" w:rsidRPr="00040A2A">
        <w:rPr>
          <w:rFonts w:cstheme="minorHAnsi"/>
          <w:color w:val="1F4E79" w:themeColor="accent1" w:themeShade="80"/>
          <w:szCs w:val="24"/>
        </w:rPr>
        <w:t>Improve writing for all students with an emphasis on growth</w:t>
      </w:r>
    </w:p>
    <w:p w14:paraId="255A28BA" w14:textId="77777777" w:rsidR="004D5E45" w:rsidRPr="00837137" w:rsidRDefault="006D2F6B" w:rsidP="00837137">
      <w:pPr>
        <w:pStyle w:val="Heading3"/>
      </w:pPr>
      <w:r w:rsidRPr="00837137">
        <w:t>Targets or measures</w:t>
      </w:r>
    </w:p>
    <w:p w14:paraId="0ED94083" w14:textId="32711443" w:rsidR="000031B5" w:rsidRDefault="00481BD2" w:rsidP="0058339C">
      <w:pPr>
        <w:pStyle w:val="BodyText"/>
      </w:pPr>
      <w:r>
        <w:t>By the end of 2</w:t>
      </w:r>
      <w:r w:rsidR="00030BA5">
        <w:t xml:space="preserve">023 </w:t>
      </w:r>
      <w:r w:rsidR="000031B5">
        <w:t>we will achieve:</w:t>
      </w:r>
    </w:p>
    <w:p w14:paraId="12BD76A1" w14:textId="42F46F15" w:rsidR="00997CD0" w:rsidRPr="008E0EAB" w:rsidRDefault="00030BA5" w:rsidP="00837137">
      <w:pPr>
        <w:pStyle w:val="ListBullet"/>
      </w:pPr>
      <w:r w:rsidRPr="008E0EAB">
        <w:rPr>
          <w:color w:val="000000" w:themeColor="text1"/>
        </w:rPr>
        <w:t xml:space="preserve">Percentage of students achieving at or above expected growth from year 3 to year 5 in writing will be equal to, or above, like schools (SSSG) averaged over the last three years of the plan.  </w:t>
      </w:r>
    </w:p>
    <w:p w14:paraId="63F4F767" w14:textId="3F410190" w:rsidR="00A24361" w:rsidRPr="008E0EAB" w:rsidRDefault="00A24361" w:rsidP="00837137">
      <w:pPr>
        <w:pStyle w:val="ListBullet"/>
      </w:pPr>
      <w:r w:rsidRPr="008E0EAB">
        <w:rPr>
          <w:color w:val="000000" w:themeColor="text1"/>
        </w:rPr>
        <w:t xml:space="preserve">Percentage of students in the top two bands will be equal to, or above, like schools (SSSG) averaged over the last three years of the plan.  </w:t>
      </w:r>
    </w:p>
    <w:p w14:paraId="47C4115F" w14:textId="20C44320" w:rsidR="00A24361" w:rsidRPr="008E0EAB" w:rsidRDefault="00A24361" w:rsidP="00A5195B">
      <w:pPr>
        <w:pStyle w:val="ListBullet"/>
        <w:tabs>
          <w:tab w:val="left" w:pos="1560"/>
        </w:tabs>
        <w:spacing w:before="22"/>
        <w:rPr>
          <w:color w:val="000000" w:themeColor="text1"/>
        </w:rPr>
      </w:pPr>
      <w:r w:rsidRPr="008E0EAB">
        <w:rPr>
          <w:color w:val="000000" w:themeColor="text1"/>
        </w:rPr>
        <w:t xml:space="preserve">From the commencement of 2020, use A to E data in writing to establish base line data and set targets. </w:t>
      </w:r>
    </w:p>
    <w:p w14:paraId="097CC839" w14:textId="36565A43" w:rsidR="00997CD0" w:rsidRDefault="00A24361" w:rsidP="00A24361">
      <w:pPr>
        <w:pStyle w:val="ListBullet"/>
      </w:pPr>
      <w:r>
        <w:rPr>
          <w:color w:val="000000" w:themeColor="text1"/>
        </w:rPr>
        <w:t xml:space="preserve">100% of teachers (K-6) use consistent rubrics and work samples to make effective judgements regarding student progress. </w:t>
      </w:r>
    </w:p>
    <w:p w14:paraId="1E1F7133" w14:textId="3434787C" w:rsidR="00A24361" w:rsidRPr="00A24361" w:rsidRDefault="00A24361" w:rsidP="00A24361">
      <w:pPr>
        <w:pStyle w:val="ListBullet"/>
      </w:pPr>
      <w:r>
        <w:rPr>
          <w:color w:val="000000" w:themeColor="text1"/>
        </w:rPr>
        <w:t xml:space="preserve">From 2019 collect perception data from students about the teaching and learning of writing, including receiving appropriate feedback from teachers.  </w:t>
      </w:r>
    </w:p>
    <w:p w14:paraId="5BFF096F" w14:textId="16581088" w:rsidR="00A24361" w:rsidRPr="00CF10F5" w:rsidRDefault="00A24361" w:rsidP="00A24361">
      <w:pPr>
        <w:pStyle w:val="ListBullet"/>
      </w:pPr>
      <w:r>
        <w:rPr>
          <w:color w:val="000000" w:themeColor="text1"/>
        </w:rPr>
        <w:t xml:space="preserve">From 2019 perception data collected from teachers about the teaching and learning of writing, including receiving feedback on their practice.   </w:t>
      </w:r>
    </w:p>
    <w:p w14:paraId="4B7EEA0E" w14:textId="3FD256CC" w:rsidR="00CF10F5" w:rsidRPr="00CF10F5" w:rsidRDefault="00CF10F5" w:rsidP="00A24361">
      <w:pPr>
        <w:pStyle w:val="ListBullet"/>
      </w:pPr>
      <w:r>
        <w:rPr>
          <w:color w:val="000000" w:themeColor="text1"/>
        </w:rPr>
        <w:t xml:space="preserve">100% of teachers are using ACARA work samples and rubrics to make effective judgements about student progress.    </w:t>
      </w:r>
    </w:p>
    <w:p w14:paraId="0358A6CE" w14:textId="13A4B284" w:rsidR="00CF10F5" w:rsidRPr="00CF10F5" w:rsidRDefault="00CF10F5" w:rsidP="00CF10F5">
      <w:pPr>
        <w:pStyle w:val="ListBullet"/>
        <w:rPr>
          <w:b/>
          <w:i/>
        </w:rPr>
      </w:pPr>
      <w:r>
        <w:t xml:space="preserve">100% of teachers are using differentiated planning to meet the needs of all students.     </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1EA73CA8" w14:textId="4B2FCE58" w:rsidR="005427A8" w:rsidRPr="00602A67" w:rsidRDefault="005427A8" w:rsidP="00837137">
      <w:pPr>
        <w:pStyle w:val="ListBullet"/>
      </w:pPr>
      <w:r>
        <w:rPr>
          <w:rFonts w:cstheme="minorHAnsi"/>
        </w:rPr>
        <w:t>Participation in the Early L</w:t>
      </w:r>
      <w:r w:rsidR="00A24361" w:rsidRPr="00A24361">
        <w:rPr>
          <w:rFonts w:cstheme="minorHAnsi"/>
        </w:rPr>
        <w:t xml:space="preserve">iteracy Project with Christine </w:t>
      </w:r>
      <w:proofErr w:type="spellStart"/>
      <w:r w:rsidR="00A24361" w:rsidRPr="00A24361">
        <w:rPr>
          <w:rFonts w:cstheme="minorHAnsi"/>
        </w:rPr>
        <w:t>Topfer</w:t>
      </w:r>
      <w:proofErr w:type="spellEnd"/>
      <w:r w:rsidR="00A24361" w:rsidRPr="00A24361">
        <w:rPr>
          <w:rFonts w:cstheme="minorHAnsi"/>
        </w:rPr>
        <w:t xml:space="preserve"> to </w:t>
      </w:r>
      <w:r>
        <w:rPr>
          <w:rFonts w:cstheme="minorHAnsi"/>
        </w:rPr>
        <w:t>further strengthen pedagogy and consistency across the school</w:t>
      </w:r>
      <w:r w:rsidR="00000789">
        <w:rPr>
          <w:rFonts w:cstheme="minorHAnsi"/>
        </w:rPr>
        <w:t>.</w:t>
      </w:r>
    </w:p>
    <w:p w14:paraId="6F0C4F29" w14:textId="040BEA3A" w:rsidR="00602A67" w:rsidRPr="005427A8" w:rsidRDefault="00602A67" w:rsidP="00837137">
      <w:pPr>
        <w:pStyle w:val="ListBullet"/>
      </w:pPr>
      <w:r>
        <w:rPr>
          <w:rFonts w:cstheme="minorHAnsi"/>
        </w:rPr>
        <w:t xml:space="preserve">Continued focus on the pedagogy used to teach writing with a focus on consistent, </w:t>
      </w:r>
      <w:r w:rsidR="000F2105">
        <w:rPr>
          <w:rFonts w:cstheme="minorHAnsi"/>
        </w:rPr>
        <w:t>evidence-based</w:t>
      </w:r>
      <w:r>
        <w:rPr>
          <w:rFonts w:cstheme="minorHAnsi"/>
        </w:rPr>
        <w:t xml:space="preserve"> practices used in all classrooms</w:t>
      </w:r>
      <w:r w:rsidR="00000789">
        <w:rPr>
          <w:rFonts w:cstheme="minorHAnsi"/>
        </w:rPr>
        <w:t>.</w:t>
      </w:r>
    </w:p>
    <w:p w14:paraId="1DB5D6F2" w14:textId="582567E5" w:rsidR="00997CD0" w:rsidRPr="00A24361" w:rsidRDefault="005427A8" w:rsidP="00A5195B">
      <w:pPr>
        <w:pStyle w:val="ListBullet"/>
      </w:pPr>
      <w:r w:rsidRPr="005427A8">
        <w:rPr>
          <w:rFonts w:cstheme="minorHAnsi"/>
        </w:rPr>
        <w:t>Further develop the PLC model to ensure the focus is on student outcomes and consistency of practice across the school</w:t>
      </w:r>
      <w:r w:rsidR="00000789">
        <w:rPr>
          <w:rFonts w:cstheme="minorHAnsi"/>
        </w:rPr>
        <w:t>.</w:t>
      </w:r>
    </w:p>
    <w:p w14:paraId="7DFF073D" w14:textId="45A372CA"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10207" w:type="dxa"/>
        <w:tblInd w:w="-5" w:type="dxa"/>
        <w:tblCellMar>
          <w:top w:w="57" w:type="dxa"/>
          <w:left w:w="57" w:type="dxa"/>
          <w:bottom w:w="57" w:type="dxa"/>
          <w:right w:w="57" w:type="dxa"/>
        </w:tblCellMar>
        <w:tblLook w:val="04A0" w:firstRow="1" w:lastRow="0" w:firstColumn="1" w:lastColumn="0" w:noHBand="0" w:noVBand="1"/>
      </w:tblPr>
      <w:tblGrid>
        <w:gridCol w:w="5443"/>
        <w:gridCol w:w="794"/>
        <w:gridCol w:w="794"/>
        <w:gridCol w:w="794"/>
        <w:gridCol w:w="794"/>
        <w:gridCol w:w="794"/>
        <w:gridCol w:w="794"/>
      </w:tblGrid>
      <w:tr w:rsidR="006D2F6B" w14:paraId="11CF2626" w14:textId="77777777" w:rsidTr="00A50C0D">
        <w:tc>
          <w:tcPr>
            <w:tcW w:w="5443" w:type="dxa"/>
            <w:shd w:val="clear" w:color="auto" w:fill="auto"/>
          </w:tcPr>
          <w:p w14:paraId="2744B2CC" w14:textId="77777777" w:rsidR="006D2F6B" w:rsidRPr="00D03B0C" w:rsidRDefault="006D2F6B" w:rsidP="00D03B0C">
            <w:pPr>
              <w:rPr>
                <w:b/>
              </w:rPr>
            </w:pPr>
            <w:r w:rsidRPr="00D03B0C">
              <w:rPr>
                <w:b/>
              </w:rPr>
              <w:t>Targets or Measures</w:t>
            </w:r>
          </w:p>
        </w:tc>
        <w:tc>
          <w:tcPr>
            <w:tcW w:w="794" w:type="dxa"/>
            <w:shd w:val="clear" w:color="auto" w:fill="auto"/>
          </w:tcPr>
          <w:p w14:paraId="118BFB5A" w14:textId="77777777" w:rsidR="006D2F6B" w:rsidRPr="00D03B0C" w:rsidRDefault="006D2F6B" w:rsidP="00D56F59">
            <w:pPr>
              <w:jc w:val="center"/>
              <w:rPr>
                <w:b/>
              </w:rPr>
            </w:pPr>
            <w:r w:rsidRPr="00D03B0C">
              <w:rPr>
                <w:b/>
              </w:rPr>
              <w:t>Base</w:t>
            </w:r>
          </w:p>
        </w:tc>
        <w:tc>
          <w:tcPr>
            <w:tcW w:w="794" w:type="dxa"/>
            <w:shd w:val="clear" w:color="auto" w:fill="auto"/>
          </w:tcPr>
          <w:p w14:paraId="42366ADC" w14:textId="77777777" w:rsidR="006D2F6B" w:rsidRPr="00D03B0C" w:rsidRDefault="006D2F6B" w:rsidP="00D56F59">
            <w:pPr>
              <w:jc w:val="center"/>
              <w:rPr>
                <w:b/>
              </w:rPr>
            </w:pPr>
            <w:r w:rsidRPr="00D03B0C">
              <w:rPr>
                <w:b/>
              </w:rPr>
              <w:t>Year 1</w:t>
            </w:r>
          </w:p>
        </w:tc>
        <w:tc>
          <w:tcPr>
            <w:tcW w:w="794" w:type="dxa"/>
            <w:shd w:val="clear" w:color="auto" w:fill="auto"/>
          </w:tcPr>
          <w:p w14:paraId="3CAE587B" w14:textId="77777777" w:rsidR="006D2F6B" w:rsidRPr="00D03B0C" w:rsidRDefault="006D2F6B" w:rsidP="00D56F59">
            <w:pPr>
              <w:jc w:val="center"/>
              <w:rPr>
                <w:b/>
              </w:rPr>
            </w:pPr>
            <w:r w:rsidRPr="00D03B0C">
              <w:rPr>
                <w:b/>
              </w:rPr>
              <w:t>Year 2</w:t>
            </w:r>
          </w:p>
        </w:tc>
        <w:tc>
          <w:tcPr>
            <w:tcW w:w="794" w:type="dxa"/>
            <w:shd w:val="clear" w:color="auto" w:fill="auto"/>
          </w:tcPr>
          <w:p w14:paraId="0785495E" w14:textId="77777777" w:rsidR="006D2F6B" w:rsidRPr="00D03B0C" w:rsidRDefault="006D2F6B" w:rsidP="00D56F59">
            <w:pPr>
              <w:jc w:val="center"/>
              <w:rPr>
                <w:b/>
              </w:rPr>
            </w:pPr>
            <w:r w:rsidRPr="00D03B0C">
              <w:rPr>
                <w:b/>
              </w:rPr>
              <w:t>Year 3</w:t>
            </w:r>
          </w:p>
        </w:tc>
        <w:tc>
          <w:tcPr>
            <w:tcW w:w="794" w:type="dxa"/>
            <w:shd w:val="clear" w:color="auto" w:fill="auto"/>
          </w:tcPr>
          <w:p w14:paraId="1F5C5718" w14:textId="77777777" w:rsidR="006D2F6B" w:rsidRPr="00D03B0C" w:rsidRDefault="006D2F6B" w:rsidP="00D56F59">
            <w:pPr>
              <w:jc w:val="center"/>
              <w:rPr>
                <w:b/>
              </w:rPr>
            </w:pPr>
            <w:r w:rsidRPr="00D03B0C">
              <w:rPr>
                <w:b/>
              </w:rPr>
              <w:t>Year 4</w:t>
            </w:r>
          </w:p>
        </w:tc>
        <w:tc>
          <w:tcPr>
            <w:tcW w:w="794"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A50C0D">
        <w:tc>
          <w:tcPr>
            <w:tcW w:w="5443" w:type="dxa"/>
            <w:shd w:val="clear" w:color="auto" w:fill="auto"/>
          </w:tcPr>
          <w:p w14:paraId="52F72BA3" w14:textId="449A6EAC" w:rsidR="006D2F6B" w:rsidRPr="00D03B0C" w:rsidRDefault="005427A8" w:rsidP="00D03B0C">
            <w:pPr>
              <w:pStyle w:val="PlainText"/>
            </w:pPr>
            <w:r>
              <w:t>Students achieving at or above expected growth from year 3 to year 5 in writing compared to like schools (averaged over the last three years of the plan</w:t>
            </w:r>
            <w:r w:rsidR="00DF28FB">
              <w:t>).  Current target is 62%</w:t>
            </w:r>
            <w:r w:rsidR="001F582B">
              <w:t>.</w:t>
            </w:r>
          </w:p>
        </w:tc>
        <w:tc>
          <w:tcPr>
            <w:tcW w:w="794" w:type="dxa"/>
            <w:shd w:val="clear" w:color="auto" w:fill="auto"/>
          </w:tcPr>
          <w:p w14:paraId="558DF911" w14:textId="038D4E79" w:rsidR="00CF10F5" w:rsidRPr="003E0513" w:rsidRDefault="00CF10F5" w:rsidP="009D5296">
            <w:pPr>
              <w:jc w:val="center"/>
              <w:rPr>
                <w:i/>
                <w:iCs/>
              </w:rPr>
            </w:pPr>
            <w:r w:rsidRPr="003E0513">
              <w:rPr>
                <w:i/>
                <w:iCs/>
              </w:rPr>
              <w:t>2016 to 2018</w:t>
            </w:r>
          </w:p>
          <w:p w14:paraId="6F51F004" w14:textId="42EA8B1C" w:rsidR="006D2F6B" w:rsidRPr="003E0513" w:rsidRDefault="00AB71CD" w:rsidP="009D5296">
            <w:pPr>
              <w:jc w:val="center"/>
            </w:pPr>
            <w:r w:rsidRPr="003E0513">
              <w:t>65.9</w:t>
            </w:r>
            <w:r w:rsidR="005427A8" w:rsidRPr="003E0513">
              <w:t>%</w:t>
            </w:r>
          </w:p>
        </w:tc>
        <w:tc>
          <w:tcPr>
            <w:tcW w:w="794" w:type="dxa"/>
            <w:shd w:val="clear" w:color="auto" w:fill="auto"/>
          </w:tcPr>
          <w:p w14:paraId="61435F6B" w14:textId="77777777" w:rsidR="00F23F37" w:rsidRPr="003E0513" w:rsidRDefault="00F23F37" w:rsidP="009D5296">
            <w:pPr>
              <w:jc w:val="center"/>
              <w:rPr>
                <w:i/>
                <w:iCs/>
              </w:rPr>
            </w:pPr>
            <w:r w:rsidRPr="003E0513">
              <w:rPr>
                <w:i/>
                <w:iCs/>
              </w:rPr>
              <w:t>2017 to</w:t>
            </w:r>
          </w:p>
          <w:p w14:paraId="01986733" w14:textId="08BD4D19" w:rsidR="00F23F37" w:rsidRPr="003E0513" w:rsidRDefault="00F23F37" w:rsidP="009D5296">
            <w:pPr>
              <w:jc w:val="center"/>
              <w:rPr>
                <w:i/>
                <w:iCs/>
              </w:rPr>
            </w:pPr>
            <w:r w:rsidRPr="003E0513">
              <w:rPr>
                <w:i/>
                <w:iCs/>
              </w:rPr>
              <w:t>2019</w:t>
            </w:r>
          </w:p>
          <w:p w14:paraId="3571C78F" w14:textId="246F8379" w:rsidR="006D2F6B" w:rsidRPr="003E0513" w:rsidRDefault="005B1ED9" w:rsidP="009D5296">
            <w:pPr>
              <w:jc w:val="center"/>
            </w:pPr>
            <w:r w:rsidRPr="003E0513">
              <w:t>5</w:t>
            </w:r>
            <w:r w:rsidR="00AB71CD" w:rsidRPr="003E0513">
              <w:t>6.3</w:t>
            </w:r>
            <w:r w:rsidRPr="003E0513">
              <w:t>%</w:t>
            </w:r>
          </w:p>
        </w:tc>
        <w:tc>
          <w:tcPr>
            <w:tcW w:w="794" w:type="dxa"/>
            <w:shd w:val="clear" w:color="auto" w:fill="auto"/>
          </w:tcPr>
          <w:p w14:paraId="69018766" w14:textId="77777777" w:rsidR="006D2F6B" w:rsidRPr="00D03B0C" w:rsidRDefault="006D2F6B" w:rsidP="009D5296">
            <w:pPr>
              <w:jc w:val="center"/>
            </w:pPr>
          </w:p>
        </w:tc>
        <w:tc>
          <w:tcPr>
            <w:tcW w:w="794" w:type="dxa"/>
            <w:shd w:val="clear" w:color="auto" w:fill="auto"/>
          </w:tcPr>
          <w:p w14:paraId="7AB434B5" w14:textId="77777777" w:rsidR="006D2F6B" w:rsidRPr="00D03B0C" w:rsidRDefault="006D2F6B" w:rsidP="009D5296">
            <w:pPr>
              <w:jc w:val="center"/>
            </w:pPr>
          </w:p>
        </w:tc>
        <w:tc>
          <w:tcPr>
            <w:tcW w:w="794" w:type="dxa"/>
            <w:shd w:val="clear" w:color="auto" w:fill="auto"/>
          </w:tcPr>
          <w:p w14:paraId="6E571018" w14:textId="77777777" w:rsidR="006D2F6B" w:rsidRPr="00D03B0C" w:rsidRDefault="006D2F6B" w:rsidP="009D5296">
            <w:pPr>
              <w:jc w:val="center"/>
            </w:pPr>
          </w:p>
        </w:tc>
        <w:tc>
          <w:tcPr>
            <w:tcW w:w="794" w:type="dxa"/>
            <w:shd w:val="clear" w:color="auto" w:fill="auto"/>
          </w:tcPr>
          <w:p w14:paraId="1D114ACD" w14:textId="77777777" w:rsidR="006D2F6B" w:rsidRPr="00D03B0C" w:rsidRDefault="006D2F6B" w:rsidP="009D5296">
            <w:pPr>
              <w:jc w:val="center"/>
            </w:pPr>
          </w:p>
        </w:tc>
      </w:tr>
      <w:tr w:rsidR="006D2F6B" w14:paraId="3E447EBE" w14:textId="77777777" w:rsidTr="00A50C0D">
        <w:tc>
          <w:tcPr>
            <w:tcW w:w="5443" w:type="dxa"/>
            <w:shd w:val="clear" w:color="auto" w:fill="auto"/>
          </w:tcPr>
          <w:p w14:paraId="3C7AC1FF" w14:textId="244F3FC3" w:rsidR="006D2F6B" w:rsidRPr="00D03B0C" w:rsidRDefault="005427A8" w:rsidP="006D2F6B">
            <w:r>
              <w:t>Percentage of students in year 3 in the top two bands</w:t>
            </w:r>
            <w:r w:rsidR="00DF28FB">
              <w:t xml:space="preserve"> compared to like schools (averaged over the last three years of the plan). Currently 12 % points below.</w:t>
            </w:r>
          </w:p>
        </w:tc>
        <w:tc>
          <w:tcPr>
            <w:tcW w:w="794" w:type="dxa"/>
            <w:shd w:val="clear" w:color="auto" w:fill="auto"/>
          </w:tcPr>
          <w:p w14:paraId="255D7415" w14:textId="77777777" w:rsidR="001F582B" w:rsidRPr="003E0513" w:rsidRDefault="001F582B" w:rsidP="009D5296">
            <w:pPr>
              <w:jc w:val="center"/>
              <w:rPr>
                <w:i/>
                <w:iCs/>
              </w:rPr>
            </w:pPr>
            <w:r w:rsidRPr="003E0513">
              <w:rPr>
                <w:i/>
                <w:iCs/>
              </w:rPr>
              <w:t>2016 to</w:t>
            </w:r>
          </w:p>
          <w:p w14:paraId="19BA633F" w14:textId="66D57103" w:rsidR="00DF28FB" w:rsidRPr="003E0513" w:rsidRDefault="00602A67" w:rsidP="009D5296">
            <w:pPr>
              <w:jc w:val="center"/>
              <w:rPr>
                <w:i/>
                <w:iCs/>
              </w:rPr>
            </w:pPr>
            <w:r w:rsidRPr="003E0513">
              <w:rPr>
                <w:i/>
                <w:iCs/>
              </w:rPr>
              <w:t>2018</w:t>
            </w:r>
          </w:p>
          <w:p w14:paraId="4C712096" w14:textId="37835518" w:rsidR="000F2105" w:rsidRPr="003E0513" w:rsidRDefault="001F582B" w:rsidP="009D5296">
            <w:pPr>
              <w:jc w:val="center"/>
            </w:pPr>
            <w:r w:rsidRPr="003E0513">
              <w:t>56.2</w:t>
            </w:r>
            <w:r w:rsidR="000F2105" w:rsidRPr="003E0513">
              <w:t>%</w:t>
            </w:r>
          </w:p>
        </w:tc>
        <w:tc>
          <w:tcPr>
            <w:tcW w:w="794" w:type="dxa"/>
            <w:shd w:val="clear" w:color="auto" w:fill="auto"/>
          </w:tcPr>
          <w:p w14:paraId="27A00949" w14:textId="77777777" w:rsidR="00600597" w:rsidRPr="003E0513" w:rsidRDefault="00600597" w:rsidP="00600597">
            <w:pPr>
              <w:jc w:val="center"/>
              <w:rPr>
                <w:i/>
                <w:iCs/>
              </w:rPr>
            </w:pPr>
            <w:r w:rsidRPr="003E0513">
              <w:rPr>
                <w:i/>
                <w:iCs/>
              </w:rPr>
              <w:t>2017 to</w:t>
            </w:r>
          </w:p>
          <w:p w14:paraId="4190F030" w14:textId="77777777" w:rsidR="00600597" w:rsidRPr="003E0513" w:rsidRDefault="00600597" w:rsidP="00600597">
            <w:pPr>
              <w:jc w:val="center"/>
              <w:rPr>
                <w:i/>
                <w:iCs/>
              </w:rPr>
            </w:pPr>
            <w:r w:rsidRPr="003E0513">
              <w:rPr>
                <w:i/>
                <w:iCs/>
              </w:rPr>
              <w:t>2019</w:t>
            </w:r>
          </w:p>
          <w:p w14:paraId="2AFC093D" w14:textId="15D4469E" w:rsidR="006D2F6B" w:rsidRPr="003E0513" w:rsidRDefault="00600597" w:rsidP="009D5296">
            <w:pPr>
              <w:jc w:val="center"/>
            </w:pPr>
            <w:r w:rsidRPr="003E0513">
              <w:t>55.2%</w:t>
            </w:r>
          </w:p>
        </w:tc>
        <w:tc>
          <w:tcPr>
            <w:tcW w:w="794" w:type="dxa"/>
            <w:shd w:val="clear" w:color="auto" w:fill="auto"/>
          </w:tcPr>
          <w:p w14:paraId="21FB2E79" w14:textId="77777777" w:rsidR="006D2F6B" w:rsidRPr="00D03B0C" w:rsidRDefault="006D2F6B" w:rsidP="009D5296">
            <w:pPr>
              <w:jc w:val="center"/>
            </w:pPr>
          </w:p>
        </w:tc>
        <w:tc>
          <w:tcPr>
            <w:tcW w:w="794" w:type="dxa"/>
            <w:shd w:val="clear" w:color="auto" w:fill="auto"/>
          </w:tcPr>
          <w:p w14:paraId="3C328C1C" w14:textId="77777777" w:rsidR="006D2F6B" w:rsidRPr="00D03B0C" w:rsidRDefault="006D2F6B" w:rsidP="009D5296">
            <w:pPr>
              <w:jc w:val="center"/>
            </w:pPr>
          </w:p>
        </w:tc>
        <w:tc>
          <w:tcPr>
            <w:tcW w:w="794" w:type="dxa"/>
            <w:shd w:val="clear" w:color="auto" w:fill="auto"/>
          </w:tcPr>
          <w:p w14:paraId="7A35D1D4" w14:textId="77777777" w:rsidR="006D2F6B" w:rsidRPr="00D03B0C" w:rsidRDefault="006D2F6B" w:rsidP="009D5296">
            <w:pPr>
              <w:jc w:val="center"/>
            </w:pPr>
          </w:p>
        </w:tc>
        <w:tc>
          <w:tcPr>
            <w:tcW w:w="794" w:type="dxa"/>
            <w:shd w:val="clear" w:color="auto" w:fill="auto"/>
          </w:tcPr>
          <w:p w14:paraId="7DBFB30A" w14:textId="77777777" w:rsidR="006D2F6B" w:rsidRPr="00D03B0C" w:rsidRDefault="006D2F6B" w:rsidP="009D5296">
            <w:pPr>
              <w:jc w:val="center"/>
            </w:pPr>
          </w:p>
        </w:tc>
      </w:tr>
      <w:tr w:rsidR="00DF28FB" w14:paraId="07B69AD4" w14:textId="77777777" w:rsidTr="00A50C0D">
        <w:tc>
          <w:tcPr>
            <w:tcW w:w="5443" w:type="dxa"/>
            <w:shd w:val="clear" w:color="auto" w:fill="auto"/>
          </w:tcPr>
          <w:p w14:paraId="5D308EBD" w14:textId="37FDE395" w:rsidR="00DF28FB" w:rsidRDefault="00DF28FB" w:rsidP="006D2F6B">
            <w:r>
              <w:t>Percentage of students in year 5 in the top two bands compared to like schools (averaged over the last three years of the plan). Currently 12 % points below.</w:t>
            </w:r>
          </w:p>
        </w:tc>
        <w:tc>
          <w:tcPr>
            <w:tcW w:w="794" w:type="dxa"/>
            <w:shd w:val="clear" w:color="auto" w:fill="auto"/>
          </w:tcPr>
          <w:p w14:paraId="0A784FCF" w14:textId="77777777" w:rsidR="001F582B" w:rsidRPr="003E0513" w:rsidRDefault="001F582B" w:rsidP="009D5296">
            <w:pPr>
              <w:jc w:val="center"/>
              <w:rPr>
                <w:i/>
                <w:iCs/>
              </w:rPr>
            </w:pPr>
            <w:r w:rsidRPr="003E0513">
              <w:rPr>
                <w:i/>
                <w:iCs/>
              </w:rPr>
              <w:t>2016 to</w:t>
            </w:r>
          </w:p>
          <w:p w14:paraId="29F890B9" w14:textId="7E046A8B" w:rsidR="00DF28FB" w:rsidRPr="003E0513" w:rsidRDefault="00602A67" w:rsidP="009D5296">
            <w:pPr>
              <w:jc w:val="center"/>
              <w:rPr>
                <w:i/>
                <w:iCs/>
              </w:rPr>
            </w:pPr>
            <w:r w:rsidRPr="003E0513">
              <w:rPr>
                <w:i/>
                <w:iCs/>
              </w:rPr>
              <w:t>2018</w:t>
            </w:r>
          </w:p>
          <w:p w14:paraId="2AE0DBD4" w14:textId="73949858" w:rsidR="00DF28FB" w:rsidRPr="003E0513" w:rsidRDefault="000F2105" w:rsidP="001F582B">
            <w:pPr>
              <w:jc w:val="center"/>
            </w:pPr>
            <w:r w:rsidRPr="003E0513">
              <w:t>1</w:t>
            </w:r>
            <w:r w:rsidR="001F582B" w:rsidRPr="003E0513">
              <w:t>6.9</w:t>
            </w:r>
            <w:r w:rsidRPr="003E0513">
              <w:t>%</w:t>
            </w:r>
          </w:p>
        </w:tc>
        <w:tc>
          <w:tcPr>
            <w:tcW w:w="794" w:type="dxa"/>
            <w:shd w:val="clear" w:color="auto" w:fill="auto"/>
          </w:tcPr>
          <w:p w14:paraId="705B43E4" w14:textId="77777777" w:rsidR="00600597" w:rsidRPr="003E0513" w:rsidRDefault="00600597" w:rsidP="00600597">
            <w:pPr>
              <w:jc w:val="center"/>
              <w:rPr>
                <w:i/>
                <w:iCs/>
              </w:rPr>
            </w:pPr>
            <w:r w:rsidRPr="003E0513">
              <w:rPr>
                <w:i/>
                <w:iCs/>
              </w:rPr>
              <w:t>2017 to</w:t>
            </w:r>
          </w:p>
          <w:p w14:paraId="78487597" w14:textId="77777777" w:rsidR="00600597" w:rsidRPr="003E0513" w:rsidRDefault="00600597" w:rsidP="00600597">
            <w:pPr>
              <w:jc w:val="center"/>
              <w:rPr>
                <w:i/>
                <w:iCs/>
              </w:rPr>
            </w:pPr>
            <w:r w:rsidRPr="003E0513">
              <w:rPr>
                <w:i/>
                <w:iCs/>
              </w:rPr>
              <w:t>2019</w:t>
            </w:r>
          </w:p>
          <w:p w14:paraId="0F5E0E77" w14:textId="6A355ADD" w:rsidR="00DF28FB" w:rsidRPr="003E0513" w:rsidRDefault="00E5057E" w:rsidP="009D5296">
            <w:pPr>
              <w:jc w:val="center"/>
            </w:pPr>
            <w:r w:rsidRPr="003E0513">
              <w:t>19.5%</w:t>
            </w:r>
          </w:p>
        </w:tc>
        <w:tc>
          <w:tcPr>
            <w:tcW w:w="794" w:type="dxa"/>
            <w:shd w:val="clear" w:color="auto" w:fill="auto"/>
          </w:tcPr>
          <w:p w14:paraId="265D926B" w14:textId="77777777" w:rsidR="00DF28FB" w:rsidRPr="00D03B0C" w:rsidRDefault="00DF28FB" w:rsidP="009D5296">
            <w:pPr>
              <w:jc w:val="center"/>
            </w:pPr>
          </w:p>
        </w:tc>
        <w:tc>
          <w:tcPr>
            <w:tcW w:w="794" w:type="dxa"/>
            <w:shd w:val="clear" w:color="auto" w:fill="auto"/>
          </w:tcPr>
          <w:p w14:paraId="6EC6ECA2" w14:textId="77777777" w:rsidR="00DF28FB" w:rsidRPr="00D03B0C" w:rsidRDefault="00DF28FB" w:rsidP="009D5296">
            <w:pPr>
              <w:jc w:val="center"/>
            </w:pPr>
          </w:p>
        </w:tc>
        <w:tc>
          <w:tcPr>
            <w:tcW w:w="794" w:type="dxa"/>
            <w:shd w:val="clear" w:color="auto" w:fill="auto"/>
          </w:tcPr>
          <w:p w14:paraId="6070F3EB" w14:textId="77777777" w:rsidR="00DF28FB" w:rsidRPr="00D03B0C" w:rsidRDefault="00DF28FB" w:rsidP="009D5296">
            <w:pPr>
              <w:jc w:val="center"/>
            </w:pPr>
          </w:p>
        </w:tc>
        <w:tc>
          <w:tcPr>
            <w:tcW w:w="794" w:type="dxa"/>
            <w:shd w:val="clear" w:color="auto" w:fill="auto"/>
          </w:tcPr>
          <w:p w14:paraId="684A5BF4" w14:textId="77777777" w:rsidR="00DF28FB" w:rsidRPr="00D03B0C" w:rsidRDefault="00DF28FB" w:rsidP="009D5296">
            <w:pPr>
              <w:jc w:val="center"/>
            </w:pPr>
          </w:p>
        </w:tc>
      </w:tr>
    </w:tbl>
    <w:p w14:paraId="1D49D794" w14:textId="77777777" w:rsidR="00CF10F5" w:rsidRDefault="00CF10F5" w:rsidP="00C0648C">
      <w:pPr>
        <w:pStyle w:val="Heading4"/>
      </w:pPr>
    </w:p>
    <w:p w14:paraId="462F5196" w14:textId="77777777" w:rsidR="00CF10F5" w:rsidRDefault="00CF10F5">
      <w:pPr>
        <w:rPr>
          <w:rFonts w:asciiTheme="majorHAnsi" w:eastAsiaTheme="majorEastAsia" w:hAnsiTheme="majorHAnsi" w:cstheme="majorBidi"/>
          <w:i/>
          <w:iCs/>
          <w:color w:val="1F4E79"/>
        </w:rPr>
      </w:pPr>
      <w:r>
        <w:br w:type="page"/>
      </w:r>
    </w:p>
    <w:p w14:paraId="492260B5" w14:textId="3C3130F1" w:rsidR="00C67756" w:rsidRDefault="00C67756" w:rsidP="00C0648C">
      <w:pPr>
        <w:pStyle w:val="Heading4"/>
      </w:pPr>
      <w:r>
        <w:lastRenderedPageBreak/>
        <w:t>Student Learning Data</w:t>
      </w:r>
    </w:p>
    <w:tbl>
      <w:tblPr>
        <w:tblStyle w:val="TableGrid"/>
        <w:tblW w:w="10262" w:type="dxa"/>
        <w:tblLook w:val="04A0" w:firstRow="1" w:lastRow="0" w:firstColumn="1" w:lastColumn="0" w:noHBand="0" w:noVBand="1"/>
      </w:tblPr>
      <w:tblGrid>
        <w:gridCol w:w="5422"/>
        <w:gridCol w:w="1234"/>
        <w:gridCol w:w="1202"/>
        <w:gridCol w:w="1202"/>
        <w:gridCol w:w="1202"/>
      </w:tblGrid>
      <w:tr w:rsidR="004F478B" w14:paraId="54F85730" w14:textId="77777777" w:rsidTr="00A50C0D">
        <w:tc>
          <w:tcPr>
            <w:tcW w:w="5422" w:type="dxa"/>
          </w:tcPr>
          <w:p w14:paraId="6E1964DD" w14:textId="28C5DF57" w:rsidR="004F478B" w:rsidRPr="004F478B" w:rsidRDefault="004F478B" w:rsidP="00C67756">
            <w:pPr>
              <w:rPr>
                <w:b/>
                <w:bCs/>
              </w:rPr>
            </w:pPr>
            <w:r w:rsidRPr="004F478B">
              <w:rPr>
                <w:b/>
                <w:bCs/>
              </w:rPr>
              <w:t>Target or Measures</w:t>
            </w:r>
          </w:p>
        </w:tc>
        <w:tc>
          <w:tcPr>
            <w:tcW w:w="1234" w:type="dxa"/>
          </w:tcPr>
          <w:p w14:paraId="5F3F5471" w14:textId="3F4E75E4" w:rsidR="004F478B" w:rsidRPr="004F478B" w:rsidRDefault="004F478B" w:rsidP="00BE00DE">
            <w:pPr>
              <w:jc w:val="center"/>
              <w:rPr>
                <w:b/>
                <w:bCs/>
              </w:rPr>
            </w:pPr>
            <w:r w:rsidRPr="004F478B">
              <w:rPr>
                <w:b/>
                <w:bCs/>
              </w:rPr>
              <w:t>Base</w:t>
            </w:r>
          </w:p>
        </w:tc>
        <w:tc>
          <w:tcPr>
            <w:tcW w:w="1202" w:type="dxa"/>
          </w:tcPr>
          <w:p w14:paraId="1A47AC05" w14:textId="77777777" w:rsidR="00BE00DE" w:rsidRDefault="004F478B" w:rsidP="00BE00DE">
            <w:pPr>
              <w:jc w:val="center"/>
              <w:rPr>
                <w:b/>
                <w:bCs/>
              </w:rPr>
            </w:pPr>
            <w:r w:rsidRPr="004F478B">
              <w:rPr>
                <w:b/>
                <w:bCs/>
              </w:rPr>
              <w:t>Year 1</w:t>
            </w:r>
          </w:p>
          <w:p w14:paraId="1B974B18" w14:textId="18A8AED4" w:rsidR="004F478B" w:rsidRPr="004F478B" w:rsidRDefault="004F478B" w:rsidP="00BE00DE">
            <w:pPr>
              <w:jc w:val="center"/>
              <w:rPr>
                <w:b/>
                <w:bCs/>
              </w:rPr>
            </w:pPr>
            <w:r w:rsidRPr="004F478B">
              <w:rPr>
                <w:b/>
                <w:bCs/>
              </w:rPr>
              <w:t>2021</w:t>
            </w:r>
          </w:p>
        </w:tc>
        <w:tc>
          <w:tcPr>
            <w:tcW w:w="1202" w:type="dxa"/>
          </w:tcPr>
          <w:p w14:paraId="185267BE" w14:textId="77777777" w:rsidR="00BE00DE" w:rsidRDefault="004F478B" w:rsidP="00BE00DE">
            <w:pPr>
              <w:jc w:val="center"/>
              <w:rPr>
                <w:b/>
                <w:bCs/>
              </w:rPr>
            </w:pPr>
            <w:r w:rsidRPr="004F478B">
              <w:rPr>
                <w:b/>
                <w:bCs/>
              </w:rPr>
              <w:t>Year 2</w:t>
            </w:r>
          </w:p>
          <w:p w14:paraId="16289B9B" w14:textId="7012B263" w:rsidR="004F478B" w:rsidRPr="004F478B" w:rsidRDefault="004F478B" w:rsidP="00BE00DE">
            <w:pPr>
              <w:jc w:val="center"/>
              <w:rPr>
                <w:b/>
                <w:bCs/>
              </w:rPr>
            </w:pPr>
            <w:r w:rsidRPr="004F478B">
              <w:rPr>
                <w:b/>
                <w:bCs/>
              </w:rPr>
              <w:t>2022</w:t>
            </w:r>
          </w:p>
        </w:tc>
        <w:tc>
          <w:tcPr>
            <w:tcW w:w="1202" w:type="dxa"/>
          </w:tcPr>
          <w:p w14:paraId="2EE65284" w14:textId="60A7F526" w:rsidR="004F478B" w:rsidRPr="004F478B" w:rsidRDefault="004F478B" w:rsidP="00BE00DE">
            <w:pPr>
              <w:jc w:val="center"/>
              <w:rPr>
                <w:b/>
                <w:bCs/>
              </w:rPr>
            </w:pPr>
            <w:r w:rsidRPr="004F478B">
              <w:rPr>
                <w:b/>
                <w:bCs/>
              </w:rPr>
              <w:t>Year 3 2023</w:t>
            </w:r>
          </w:p>
        </w:tc>
      </w:tr>
      <w:tr w:rsidR="004F478B" w14:paraId="5CD71498" w14:textId="77777777" w:rsidTr="00A50C0D">
        <w:tc>
          <w:tcPr>
            <w:tcW w:w="5422" w:type="dxa"/>
          </w:tcPr>
          <w:p w14:paraId="56359FFB" w14:textId="2E0F9834" w:rsidR="004F478B" w:rsidRDefault="004F478B" w:rsidP="00C67756">
            <w:r>
              <w:t>A to E data for students from year 1 to year 6 for writing</w:t>
            </w:r>
            <w:r w:rsidR="00000789">
              <w:t>.</w:t>
            </w:r>
          </w:p>
        </w:tc>
        <w:tc>
          <w:tcPr>
            <w:tcW w:w="1234" w:type="dxa"/>
          </w:tcPr>
          <w:p w14:paraId="62474E54" w14:textId="418176CB" w:rsidR="004F478B" w:rsidRPr="00BE00DE" w:rsidRDefault="004F478B" w:rsidP="00BE00DE">
            <w:pPr>
              <w:jc w:val="center"/>
            </w:pPr>
            <w:r w:rsidRPr="00BE00DE">
              <w:t>To be established 2020</w:t>
            </w:r>
          </w:p>
        </w:tc>
        <w:tc>
          <w:tcPr>
            <w:tcW w:w="1202" w:type="dxa"/>
          </w:tcPr>
          <w:p w14:paraId="6494C6CD" w14:textId="77777777" w:rsidR="004F478B" w:rsidRDefault="004F478B" w:rsidP="00C67756"/>
        </w:tc>
        <w:tc>
          <w:tcPr>
            <w:tcW w:w="1202" w:type="dxa"/>
          </w:tcPr>
          <w:p w14:paraId="3A9BA1F5" w14:textId="77777777" w:rsidR="004F478B" w:rsidRDefault="004F478B" w:rsidP="00C67756"/>
        </w:tc>
        <w:tc>
          <w:tcPr>
            <w:tcW w:w="1202" w:type="dxa"/>
          </w:tcPr>
          <w:p w14:paraId="7FA0F4AA" w14:textId="77777777" w:rsidR="004F478B" w:rsidRDefault="004F478B" w:rsidP="00C67756"/>
        </w:tc>
      </w:tr>
    </w:tbl>
    <w:p w14:paraId="480836ED" w14:textId="54BD26F9" w:rsidR="00C67756" w:rsidRDefault="00C67756" w:rsidP="00C67756"/>
    <w:p w14:paraId="64BF1F74" w14:textId="36E30973" w:rsidR="008A01DA" w:rsidRPr="008A01DA" w:rsidRDefault="008A01DA" w:rsidP="00C0648C">
      <w:pPr>
        <w:pStyle w:val="Heading4"/>
      </w:pPr>
      <w:r>
        <w:t>Perception Data</w:t>
      </w:r>
    </w:p>
    <w:tbl>
      <w:tblPr>
        <w:tblStyle w:val="TableGrid"/>
        <w:tblW w:w="10262" w:type="dxa"/>
        <w:tblInd w:w="-5" w:type="dxa"/>
        <w:tblCellMar>
          <w:top w:w="57" w:type="dxa"/>
          <w:left w:w="57" w:type="dxa"/>
          <w:bottom w:w="57" w:type="dxa"/>
          <w:right w:w="57" w:type="dxa"/>
        </w:tblCellMar>
        <w:tblLook w:val="04A0" w:firstRow="1" w:lastRow="0" w:firstColumn="1" w:lastColumn="0" w:noHBand="0" w:noVBand="1"/>
      </w:tblPr>
      <w:tblGrid>
        <w:gridCol w:w="5443"/>
        <w:gridCol w:w="1204"/>
        <w:gridCol w:w="1205"/>
        <w:gridCol w:w="1205"/>
        <w:gridCol w:w="1205"/>
      </w:tblGrid>
      <w:tr w:rsidR="00BE00DE" w14:paraId="4EF7DD9F" w14:textId="77777777" w:rsidTr="00A50C0D">
        <w:tc>
          <w:tcPr>
            <w:tcW w:w="5443" w:type="dxa"/>
            <w:shd w:val="clear" w:color="auto" w:fill="auto"/>
          </w:tcPr>
          <w:p w14:paraId="13269C94" w14:textId="25F341E9" w:rsidR="00BE00DE" w:rsidRPr="006D2F6B" w:rsidRDefault="00BE00DE" w:rsidP="00D03B0C">
            <w:pPr>
              <w:rPr>
                <w:b/>
              </w:rPr>
            </w:pPr>
            <w:r w:rsidRPr="006D2F6B">
              <w:rPr>
                <w:b/>
              </w:rPr>
              <w:t>Targets or Measures</w:t>
            </w:r>
            <w:r w:rsidR="008E0EAB">
              <w:rPr>
                <w:b/>
              </w:rPr>
              <w:t xml:space="preserve"> – Student Perception Data</w:t>
            </w:r>
          </w:p>
        </w:tc>
        <w:tc>
          <w:tcPr>
            <w:tcW w:w="1204" w:type="dxa"/>
            <w:shd w:val="clear" w:color="auto" w:fill="auto"/>
          </w:tcPr>
          <w:p w14:paraId="4B51A1C5" w14:textId="77777777" w:rsidR="00BE00DE" w:rsidRPr="006D2F6B" w:rsidRDefault="00BE00DE" w:rsidP="00D56F59">
            <w:pPr>
              <w:jc w:val="center"/>
              <w:rPr>
                <w:b/>
              </w:rPr>
            </w:pPr>
            <w:r w:rsidRPr="006D2F6B">
              <w:rPr>
                <w:b/>
              </w:rPr>
              <w:t>Base</w:t>
            </w:r>
          </w:p>
        </w:tc>
        <w:tc>
          <w:tcPr>
            <w:tcW w:w="1205" w:type="dxa"/>
            <w:shd w:val="clear" w:color="auto" w:fill="auto"/>
          </w:tcPr>
          <w:p w14:paraId="15B7F1C3" w14:textId="77777777" w:rsidR="00BE00DE" w:rsidRPr="006D2F6B" w:rsidRDefault="00BE00DE" w:rsidP="00D56F59">
            <w:pPr>
              <w:jc w:val="center"/>
              <w:rPr>
                <w:b/>
              </w:rPr>
            </w:pPr>
            <w:r w:rsidRPr="006D2F6B">
              <w:rPr>
                <w:b/>
              </w:rPr>
              <w:t>Year 1</w:t>
            </w:r>
          </w:p>
        </w:tc>
        <w:tc>
          <w:tcPr>
            <w:tcW w:w="1205" w:type="dxa"/>
            <w:shd w:val="clear" w:color="auto" w:fill="auto"/>
          </w:tcPr>
          <w:p w14:paraId="4CC28E98" w14:textId="77777777" w:rsidR="00BE00DE" w:rsidRPr="006D2F6B" w:rsidRDefault="00BE00DE" w:rsidP="00D56F59">
            <w:pPr>
              <w:jc w:val="center"/>
              <w:rPr>
                <w:b/>
              </w:rPr>
            </w:pPr>
            <w:r w:rsidRPr="006D2F6B">
              <w:rPr>
                <w:b/>
              </w:rPr>
              <w:t>Year 2</w:t>
            </w:r>
          </w:p>
        </w:tc>
        <w:tc>
          <w:tcPr>
            <w:tcW w:w="1205" w:type="dxa"/>
            <w:shd w:val="clear" w:color="auto" w:fill="auto"/>
          </w:tcPr>
          <w:p w14:paraId="5EE5455E" w14:textId="77777777" w:rsidR="00BE00DE" w:rsidRPr="006D2F6B" w:rsidRDefault="00BE00DE" w:rsidP="00D56F59">
            <w:pPr>
              <w:jc w:val="center"/>
              <w:rPr>
                <w:b/>
              </w:rPr>
            </w:pPr>
            <w:r w:rsidRPr="006D2F6B">
              <w:rPr>
                <w:b/>
              </w:rPr>
              <w:t>Year 3</w:t>
            </w:r>
          </w:p>
        </w:tc>
      </w:tr>
      <w:tr w:rsidR="00BE00DE" w14:paraId="71FE611D" w14:textId="77777777" w:rsidTr="00A50C0D">
        <w:tc>
          <w:tcPr>
            <w:tcW w:w="5443" w:type="dxa"/>
            <w:shd w:val="clear" w:color="auto" w:fill="auto"/>
          </w:tcPr>
          <w:p w14:paraId="15FDFA6D" w14:textId="274EDED4" w:rsidR="00BE00DE" w:rsidRPr="006D2F6B" w:rsidRDefault="00BE00DE" w:rsidP="00D03B0C">
            <w:pPr>
              <w:pStyle w:val="PlainText"/>
            </w:pPr>
            <w:r>
              <w:t>Student perception data on receiving feedback from their teachers</w:t>
            </w:r>
            <w:r w:rsidR="00000789">
              <w:t>.</w:t>
            </w:r>
          </w:p>
        </w:tc>
        <w:tc>
          <w:tcPr>
            <w:tcW w:w="1204" w:type="dxa"/>
            <w:shd w:val="clear" w:color="auto" w:fill="auto"/>
          </w:tcPr>
          <w:p w14:paraId="4B7CDD05" w14:textId="32389C85" w:rsidR="00BE00DE" w:rsidRPr="006D2F6B" w:rsidRDefault="00BE00DE" w:rsidP="00C37538">
            <w:pPr>
              <w:jc w:val="center"/>
            </w:pPr>
            <w:r>
              <w:t>To be established 2020</w:t>
            </w:r>
          </w:p>
        </w:tc>
        <w:tc>
          <w:tcPr>
            <w:tcW w:w="1205" w:type="dxa"/>
            <w:shd w:val="clear" w:color="auto" w:fill="auto"/>
          </w:tcPr>
          <w:p w14:paraId="1037F637" w14:textId="77777777" w:rsidR="00BE00DE" w:rsidRPr="006D2F6B" w:rsidRDefault="00BE00DE" w:rsidP="00D03B0C"/>
        </w:tc>
        <w:tc>
          <w:tcPr>
            <w:tcW w:w="1205" w:type="dxa"/>
            <w:shd w:val="clear" w:color="auto" w:fill="auto"/>
          </w:tcPr>
          <w:p w14:paraId="4DED56F3" w14:textId="77777777" w:rsidR="00BE00DE" w:rsidRPr="006D2F6B" w:rsidRDefault="00BE00DE" w:rsidP="00D03B0C"/>
        </w:tc>
        <w:tc>
          <w:tcPr>
            <w:tcW w:w="1205" w:type="dxa"/>
            <w:shd w:val="clear" w:color="auto" w:fill="auto"/>
          </w:tcPr>
          <w:p w14:paraId="252D803F" w14:textId="77777777" w:rsidR="00BE00DE" w:rsidRPr="006D2F6B" w:rsidRDefault="00BE00DE" w:rsidP="00D03B0C"/>
        </w:tc>
      </w:tr>
    </w:tbl>
    <w:p w14:paraId="44A833CF" w14:textId="77777777" w:rsidR="00C67756" w:rsidRDefault="00C67756" w:rsidP="00C67756"/>
    <w:tbl>
      <w:tblPr>
        <w:tblStyle w:val="TableGrid"/>
        <w:tblW w:w="10247" w:type="dxa"/>
        <w:tblLook w:val="04A0" w:firstRow="1" w:lastRow="0" w:firstColumn="1" w:lastColumn="0" w:noHBand="0" w:noVBand="1"/>
      </w:tblPr>
      <w:tblGrid>
        <w:gridCol w:w="2891"/>
        <w:gridCol w:w="1639"/>
        <w:gridCol w:w="1467"/>
        <w:gridCol w:w="1467"/>
        <w:gridCol w:w="1458"/>
        <w:gridCol w:w="1325"/>
      </w:tblGrid>
      <w:tr w:rsidR="00647FF5" w14:paraId="1FBF2389" w14:textId="1C0B8BD7" w:rsidTr="00A50C0D">
        <w:tc>
          <w:tcPr>
            <w:tcW w:w="2891" w:type="dxa"/>
          </w:tcPr>
          <w:p w14:paraId="77A8D452" w14:textId="4EABBF92" w:rsidR="00647FF5" w:rsidRPr="00A50C0D" w:rsidRDefault="00647FF5" w:rsidP="003B6D10">
            <w:pPr>
              <w:rPr>
                <w:b/>
                <w:bCs/>
              </w:rPr>
            </w:pPr>
            <w:r w:rsidRPr="00A50C0D">
              <w:rPr>
                <w:b/>
                <w:bCs/>
              </w:rPr>
              <w:t>Targets or measures</w:t>
            </w:r>
            <w:r w:rsidR="008E0EAB">
              <w:rPr>
                <w:b/>
                <w:bCs/>
              </w:rPr>
              <w:t xml:space="preserve"> – Teacher Perception Data</w:t>
            </w:r>
          </w:p>
        </w:tc>
        <w:tc>
          <w:tcPr>
            <w:tcW w:w="1639" w:type="dxa"/>
          </w:tcPr>
          <w:p w14:paraId="22E6478D" w14:textId="75C0F3AE" w:rsidR="00647FF5" w:rsidRPr="00A50C0D" w:rsidRDefault="00647FF5" w:rsidP="00A50C0D">
            <w:pPr>
              <w:jc w:val="center"/>
              <w:rPr>
                <w:b/>
                <w:bCs/>
              </w:rPr>
            </w:pPr>
            <w:r w:rsidRPr="00A50C0D">
              <w:rPr>
                <w:b/>
                <w:bCs/>
              </w:rPr>
              <w:t>Base – established in 2019</w:t>
            </w:r>
          </w:p>
        </w:tc>
        <w:tc>
          <w:tcPr>
            <w:tcW w:w="1467" w:type="dxa"/>
          </w:tcPr>
          <w:p w14:paraId="60D03C46" w14:textId="77777777" w:rsidR="00A50C0D" w:rsidRDefault="00647FF5" w:rsidP="00A50C0D">
            <w:pPr>
              <w:jc w:val="center"/>
              <w:rPr>
                <w:b/>
                <w:bCs/>
              </w:rPr>
            </w:pPr>
            <w:r w:rsidRPr="00A50C0D">
              <w:rPr>
                <w:b/>
                <w:bCs/>
              </w:rPr>
              <w:t>Year 1</w:t>
            </w:r>
          </w:p>
          <w:p w14:paraId="7753A624" w14:textId="41E09C12" w:rsidR="00647FF5" w:rsidRPr="00A50C0D" w:rsidRDefault="00647FF5" w:rsidP="00A50C0D">
            <w:pPr>
              <w:jc w:val="center"/>
              <w:rPr>
                <w:b/>
                <w:bCs/>
              </w:rPr>
            </w:pPr>
            <w:r w:rsidRPr="00A50C0D">
              <w:rPr>
                <w:b/>
                <w:bCs/>
              </w:rPr>
              <w:t>2020</w:t>
            </w:r>
          </w:p>
        </w:tc>
        <w:tc>
          <w:tcPr>
            <w:tcW w:w="1467" w:type="dxa"/>
          </w:tcPr>
          <w:p w14:paraId="0F3AF9F2" w14:textId="77777777" w:rsidR="00A50C0D" w:rsidRDefault="00647FF5" w:rsidP="00A50C0D">
            <w:pPr>
              <w:jc w:val="center"/>
              <w:rPr>
                <w:b/>
                <w:bCs/>
              </w:rPr>
            </w:pPr>
            <w:r w:rsidRPr="00A50C0D">
              <w:rPr>
                <w:b/>
                <w:bCs/>
              </w:rPr>
              <w:t>Year 2</w:t>
            </w:r>
          </w:p>
          <w:p w14:paraId="5F199C93" w14:textId="279B8918" w:rsidR="00647FF5" w:rsidRPr="00A50C0D" w:rsidRDefault="00647FF5" w:rsidP="00A50C0D">
            <w:pPr>
              <w:jc w:val="center"/>
              <w:rPr>
                <w:b/>
                <w:bCs/>
              </w:rPr>
            </w:pPr>
            <w:r w:rsidRPr="00A50C0D">
              <w:rPr>
                <w:b/>
                <w:bCs/>
              </w:rPr>
              <w:t>2021</w:t>
            </w:r>
          </w:p>
        </w:tc>
        <w:tc>
          <w:tcPr>
            <w:tcW w:w="1458" w:type="dxa"/>
          </w:tcPr>
          <w:p w14:paraId="7E9491F0" w14:textId="77777777" w:rsidR="00A50C0D" w:rsidRDefault="00647FF5" w:rsidP="00A50C0D">
            <w:pPr>
              <w:jc w:val="center"/>
              <w:rPr>
                <w:b/>
                <w:bCs/>
              </w:rPr>
            </w:pPr>
            <w:r w:rsidRPr="00A50C0D">
              <w:rPr>
                <w:b/>
                <w:bCs/>
              </w:rPr>
              <w:t>Year 3</w:t>
            </w:r>
          </w:p>
          <w:p w14:paraId="7498AA03" w14:textId="14E71D09" w:rsidR="00647FF5" w:rsidRPr="00A50C0D" w:rsidRDefault="00647FF5" w:rsidP="00A50C0D">
            <w:pPr>
              <w:jc w:val="center"/>
              <w:rPr>
                <w:b/>
                <w:bCs/>
              </w:rPr>
            </w:pPr>
            <w:r w:rsidRPr="00A50C0D">
              <w:rPr>
                <w:b/>
                <w:bCs/>
              </w:rPr>
              <w:t>2022</w:t>
            </w:r>
          </w:p>
        </w:tc>
        <w:tc>
          <w:tcPr>
            <w:tcW w:w="1325" w:type="dxa"/>
          </w:tcPr>
          <w:p w14:paraId="25D64180" w14:textId="77777777" w:rsidR="00A50C0D" w:rsidRDefault="00647FF5" w:rsidP="00A50C0D">
            <w:pPr>
              <w:jc w:val="center"/>
              <w:rPr>
                <w:b/>
                <w:bCs/>
              </w:rPr>
            </w:pPr>
            <w:r w:rsidRPr="00A50C0D">
              <w:rPr>
                <w:b/>
                <w:bCs/>
              </w:rPr>
              <w:t>Year 4</w:t>
            </w:r>
          </w:p>
          <w:p w14:paraId="020075F9" w14:textId="0151A868" w:rsidR="00647FF5" w:rsidRPr="00A50C0D" w:rsidRDefault="00647FF5" w:rsidP="00A50C0D">
            <w:pPr>
              <w:jc w:val="center"/>
              <w:rPr>
                <w:b/>
                <w:bCs/>
              </w:rPr>
            </w:pPr>
            <w:r w:rsidRPr="00A50C0D">
              <w:rPr>
                <w:b/>
                <w:bCs/>
              </w:rPr>
              <w:t>2023</w:t>
            </w:r>
          </w:p>
        </w:tc>
      </w:tr>
      <w:tr w:rsidR="00647FF5" w14:paraId="531E590E" w14:textId="66BA9424" w:rsidTr="00A50C0D">
        <w:tc>
          <w:tcPr>
            <w:tcW w:w="2891" w:type="dxa"/>
          </w:tcPr>
          <w:p w14:paraId="47E0D080" w14:textId="17C73FFD" w:rsidR="00647FF5" w:rsidRDefault="00647FF5" w:rsidP="003B6D10">
            <w:r>
              <w:t>How confident are you in including all the components of a balanced writing program</w:t>
            </w:r>
            <w:r w:rsidR="00000789">
              <w:t>?</w:t>
            </w:r>
          </w:p>
        </w:tc>
        <w:tc>
          <w:tcPr>
            <w:tcW w:w="1639" w:type="dxa"/>
          </w:tcPr>
          <w:p w14:paraId="27FB3EC2" w14:textId="3D7F862A" w:rsidR="00647FF5" w:rsidRDefault="00647FF5" w:rsidP="009D5296">
            <w:pPr>
              <w:jc w:val="center"/>
            </w:pPr>
            <w:r>
              <w:t xml:space="preserve">Marginally or </w:t>
            </w:r>
            <w:r w:rsidR="001C2063">
              <w:t>m</w:t>
            </w:r>
            <w:r>
              <w:t xml:space="preserve">oderately </w:t>
            </w:r>
            <w:r w:rsidR="001C2063">
              <w:t>c</w:t>
            </w:r>
            <w:r>
              <w:t>onfident - 60%</w:t>
            </w:r>
          </w:p>
          <w:p w14:paraId="4227C79D" w14:textId="77777777" w:rsidR="00647FF5" w:rsidRDefault="00647FF5" w:rsidP="009D5296">
            <w:pPr>
              <w:jc w:val="center"/>
            </w:pPr>
          </w:p>
          <w:p w14:paraId="193A3F0D" w14:textId="05FA3139" w:rsidR="00647FF5" w:rsidRDefault="00647FF5" w:rsidP="009D5296">
            <w:pPr>
              <w:jc w:val="center"/>
            </w:pPr>
            <w:r>
              <w:t>Highly confident -</w:t>
            </w:r>
          </w:p>
          <w:p w14:paraId="546E2A38" w14:textId="0B21B804" w:rsidR="00647FF5" w:rsidRDefault="00647FF5" w:rsidP="009D5296">
            <w:pPr>
              <w:jc w:val="center"/>
            </w:pPr>
            <w:r>
              <w:t>36%</w:t>
            </w:r>
          </w:p>
          <w:p w14:paraId="279D2D19" w14:textId="77777777" w:rsidR="00647FF5" w:rsidRDefault="00647FF5" w:rsidP="009D5296">
            <w:pPr>
              <w:jc w:val="center"/>
            </w:pPr>
          </w:p>
          <w:p w14:paraId="16AB9079" w14:textId="6CA36BDF" w:rsidR="00647FF5" w:rsidRDefault="00647FF5" w:rsidP="009D5296">
            <w:pPr>
              <w:jc w:val="center"/>
            </w:pPr>
            <w:r>
              <w:t>Highly confident and able to coach others - 4%</w:t>
            </w:r>
          </w:p>
        </w:tc>
        <w:tc>
          <w:tcPr>
            <w:tcW w:w="1467" w:type="dxa"/>
          </w:tcPr>
          <w:p w14:paraId="4ED240DB" w14:textId="5D296CA8" w:rsidR="00647FF5" w:rsidRDefault="00647FF5" w:rsidP="003B6D10"/>
        </w:tc>
        <w:tc>
          <w:tcPr>
            <w:tcW w:w="1467" w:type="dxa"/>
          </w:tcPr>
          <w:p w14:paraId="730EF5A9" w14:textId="166C413D" w:rsidR="00647FF5" w:rsidRDefault="00647FF5" w:rsidP="00C37538"/>
        </w:tc>
        <w:tc>
          <w:tcPr>
            <w:tcW w:w="1458" w:type="dxa"/>
          </w:tcPr>
          <w:p w14:paraId="1FF34803" w14:textId="77777777" w:rsidR="00647FF5" w:rsidRDefault="00647FF5" w:rsidP="003B6D10"/>
        </w:tc>
        <w:tc>
          <w:tcPr>
            <w:tcW w:w="1325" w:type="dxa"/>
          </w:tcPr>
          <w:p w14:paraId="1ED21C3F" w14:textId="77777777" w:rsidR="00647FF5" w:rsidRDefault="00647FF5" w:rsidP="003B6D10"/>
        </w:tc>
      </w:tr>
      <w:tr w:rsidR="00647FF5" w14:paraId="164F79E8" w14:textId="7D926E55" w:rsidTr="00A50C0D">
        <w:tc>
          <w:tcPr>
            <w:tcW w:w="2891" w:type="dxa"/>
          </w:tcPr>
          <w:p w14:paraId="4E4B503E" w14:textId="51EE7FA3" w:rsidR="00647FF5" w:rsidRDefault="00647FF5" w:rsidP="003B6D10">
            <w:r>
              <w:t>How often do you provide feedback to individual students on their writing</w:t>
            </w:r>
            <w:r w:rsidR="00000789">
              <w:t>?</w:t>
            </w:r>
          </w:p>
        </w:tc>
        <w:tc>
          <w:tcPr>
            <w:tcW w:w="1639" w:type="dxa"/>
          </w:tcPr>
          <w:p w14:paraId="5C89F3B4" w14:textId="6A3F1692" w:rsidR="008E0EAB" w:rsidRDefault="008E0EAB" w:rsidP="009D5296">
            <w:pPr>
              <w:jc w:val="center"/>
            </w:pPr>
            <w:r>
              <w:t>Less than once a week -</w:t>
            </w:r>
          </w:p>
          <w:p w14:paraId="52096178" w14:textId="335738CD" w:rsidR="008E0EAB" w:rsidRDefault="008E0EAB" w:rsidP="009D5296">
            <w:pPr>
              <w:jc w:val="center"/>
            </w:pPr>
            <w:r>
              <w:t>30%</w:t>
            </w:r>
          </w:p>
          <w:p w14:paraId="3776A5EA" w14:textId="77777777" w:rsidR="008E0EAB" w:rsidRDefault="008E0EAB" w:rsidP="009D5296">
            <w:pPr>
              <w:jc w:val="center"/>
            </w:pPr>
          </w:p>
          <w:p w14:paraId="3D08B1CC" w14:textId="308D4AAD" w:rsidR="008E0EAB" w:rsidRDefault="008E0EAB" w:rsidP="009D5296">
            <w:pPr>
              <w:jc w:val="center"/>
            </w:pPr>
            <w:r>
              <w:t>Once a week - 40%</w:t>
            </w:r>
          </w:p>
          <w:p w14:paraId="009C58CD" w14:textId="77777777" w:rsidR="008E0EAB" w:rsidRDefault="008E0EAB" w:rsidP="009D5296">
            <w:pPr>
              <w:jc w:val="center"/>
            </w:pPr>
          </w:p>
          <w:p w14:paraId="41C3485A" w14:textId="1151C817" w:rsidR="00647FF5" w:rsidRDefault="00647FF5" w:rsidP="009D5296">
            <w:pPr>
              <w:jc w:val="center"/>
            </w:pPr>
            <w:r>
              <w:t>More than once a week</w:t>
            </w:r>
            <w:r w:rsidR="008E0EAB">
              <w:t xml:space="preserve"> -</w:t>
            </w:r>
          </w:p>
          <w:p w14:paraId="3A52326A" w14:textId="5D894531" w:rsidR="00647FF5" w:rsidRDefault="00647FF5" w:rsidP="009D5296">
            <w:pPr>
              <w:jc w:val="center"/>
            </w:pPr>
            <w:r>
              <w:t>30%</w:t>
            </w:r>
          </w:p>
        </w:tc>
        <w:tc>
          <w:tcPr>
            <w:tcW w:w="1467" w:type="dxa"/>
          </w:tcPr>
          <w:p w14:paraId="7E64E8D1" w14:textId="2117E08B" w:rsidR="00647FF5" w:rsidRDefault="00647FF5" w:rsidP="008E0EAB"/>
        </w:tc>
        <w:tc>
          <w:tcPr>
            <w:tcW w:w="1467" w:type="dxa"/>
          </w:tcPr>
          <w:p w14:paraId="004491BE" w14:textId="11FE1C22" w:rsidR="00647FF5" w:rsidRDefault="00647FF5" w:rsidP="003B6D10"/>
        </w:tc>
        <w:tc>
          <w:tcPr>
            <w:tcW w:w="1458" w:type="dxa"/>
          </w:tcPr>
          <w:p w14:paraId="6197C438" w14:textId="77777777" w:rsidR="00647FF5" w:rsidRDefault="00647FF5" w:rsidP="003B6D10"/>
        </w:tc>
        <w:tc>
          <w:tcPr>
            <w:tcW w:w="1325" w:type="dxa"/>
          </w:tcPr>
          <w:p w14:paraId="759F9DB9" w14:textId="77777777" w:rsidR="00647FF5" w:rsidRDefault="00647FF5" w:rsidP="003B6D10"/>
        </w:tc>
      </w:tr>
      <w:tr w:rsidR="00647FF5" w14:paraId="3D42D937" w14:textId="0772C350" w:rsidTr="00A50C0D">
        <w:tc>
          <w:tcPr>
            <w:tcW w:w="2891" w:type="dxa"/>
          </w:tcPr>
          <w:p w14:paraId="020467D1" w14:textId="55131C37" w:rsidR="00647FF5" w:rsidRDefault="00647FF5" w:rsidP="003B6D10">
            <w:r>
              <w:t>Do you use the feedback to set individual writing goals?</w:t>
            </w:r>
          </w:p>
        </w:tc>
        <w:tc>
          <w:tcPr>
            <w:tcW w:w="1639" w:type="dxa"/>
          </w:tcPr>
          <w:p w14:paraId="1961A55D" w14:textId="77777777" w:rsidR="00647FF5" w:rsidRDefault="00647FF5" w:rsidP="009D5296">
            <w:pPr>
              <w:jc w:val="center"/>
            </w:pPr>
            <w:r>
              <w:t>Yes</w:t>
            </w:r>
            <w:r w:rsidR="008E0EAB">
              <w:t xml:space="preserve"> - </w:t>
            </w:r>
            <w:r>
              <w:t>68%</w:t>
            </w:r>
          </w:p>
          <w:p w14:paraId="0C094B1F" w14:textId="77777777" w:rsidR="008E0EAB" w:rsidRDefault="008E0EAB" w:rsidP="009D5296">
            <w:pPr>
              <w:jc w:val="center"/>
            </w:pPr>
          </w:p>
          <w:p w14:paraId="7E0F68AE" w14:textId="375814BE" w:rsidR="008E0EAB" w:rsidRDefault="008E0EAB" w:rsidP="009D5296">
            <w:pPr>
              <w:jc w:val="center"/>
            </w:pPr>
            <w:r>
              <w:t>No – 32%</w:t>
            </w:r>
          </w:p>
        </w:tc>
        <w:tc>
          <w:tcPr>
            <w:tcW w:w="1467" w:type="dxa"/>
          </w:tcPr>
          <w:p w14:paraId="302FDE6A" w14:textId="49209B48" w:rsidR="00647FF5" w:rsidRDefault="00647FF5" w:rsidP="003B6D10"/>
        </w:tc>
        <w:tc>
          <w:tcPr>
            <w:tcW w:w="1467" w:type="dxa"/>
          </w:tcPr>
          <w:p w14:paraId="37745503" w14:textId="77777777" w:rsidR="00647FF5" w:rsidRDefault="00647FF5" w:rsidP="003B6D10"/>
        </w:tc>
        <w:tc>
          <w:tcPr>
            <w:tcW w:w="1458" w:type="dxa"/>
          </w:tcPr>
          <w:p w14:paraId="04EE1907" w14:textId="77777777" w:rsidR="00647FF5" w:rsidRDefault="00647FF5" w:rsidP="003B6D10"/>
        </w:tc>
        <w:tc>
          <w:tcPr>
            <w:tcW w:w="1325" w:type="dxa"/>
          </w:tcPr>
          <w:p w14:paraId="58BB8657" w14:textId="77777777" w:rsidR="00647FF5" w:rsidRDefault="00647FF5" w:rsidP="003B6D10"/>
        </w:tc>
      </w:tr>
    </w:tbl>
    <w:p w14:paraId="0F4CB476" w14:textId="77777777" w:rsidR="00C67756" w:rsidRDefault="00C67756" w:rsidP="00C67756"/>
    <w:p w14:paraId="2DF33035" w14:textId="77777777" w:rsidR="00CF10F5" w:rsidRDefault="00CF10F5">
      <w:pPr>
        <w:rPr>
          <w:rFonts w:asciiTheme="majorHAnsi" w:eastAsiaTheme="majorEastAsia" w:hAnsiTheme="majorHAnsi" w:cstheme="majorBidi"/>
          <w:i/>
          <w:iCs/>
          <w:color w:val="1F4E79"/>
        </w:rPr>
      </w:pPr>
      <w:r>
        <w:br w:type="page"/>
      </w:r>
    </w:p>
    <w:p w14:paraId="02078B9E" w14:textId="2059BEA3" w:rsidR="008A01DA" w:rsidRPr="008A01DA" w:rsidRDefault="008A01DA" w:rsidP="00C0648C">
      <w:pPr>
        <w:pStyle w:val="Heading4"/>
      </w:pPr>
      <w:r>
        <w:lastRenderedPageBreak/>
        <w:t>School program and process data</w:t>
      </w:r>
    </w:p>
    <w:tbl>
      <w:tblPr>
        <w:tblStyle w:val="TableGrid"/>
        <w:tblW w:w="10184" w:type="dxa"/>
        <w:tblCellMar>
          <w:top w:w="57" w:type="dxa"/>
          <w:left w:w="57" w:type="dxa"/>
          <w:bottom w:w="57" w:type="dxa"/>
          <w:right w:w="57" w:type="dxa"/>
        </w:tblCellMar>
        <w:tblLook w:val="04A0" w:firstRow="1" w:lastRow="0" w:firstColumn="1" w:lastColumn="0" w:noHBand="0" w:noVBand="1"/>
      </w:tblPr>
      <w:tblGrid>
        <w:gridCol w:w="5356"/>
        <w:gridCol w:w="907"/>
        <w:gridCol w:w="784"/>
        <w:gridCol w:w="784"/>
        <w:gridCol w:w="784"/>
        <w:gridCol w:w="784"/>
        <w:gridCol w:w="785"/>
      </w:tblGrid>
      <w:tr w:rsidR="006D2F6B" w14:paraId="5A7D1DBC" w14:textId="77777777" w:rsidTr="00602A67">
        <w:tc>
          <w:tcPr>
            <w:tcW w:w="5356" w:type="dxa"/>
            <w:shd w:val="clear" w:color="auto" w:fill="auto"/>
          </w:tcPr>
          <w:p w14:paraId="7683E7F7" w14:textId="77777777" w:rsidR="006D2F6B" w:rsidRPr="006D2F6B" w:rsidRDefault="006D2F6B" w:rsidP="00D03B0C">
            <w:pPr>
              <w:rPr>
                <w:b/>
              </w:rPr>
            </w:pPr>
            <w:r w:rsidRPr="006D2F6B">
              <w:rPr>
                <w:b/>
              </w:rPr>
              <w:t>Targets or Measures</w:t>
            </w:r>
          </w:p>
        </w:tc>
        <w:tc>
          <w:tcPr>
            <w:tcW w:w="907" w:type="dxa"/>
            <w:shd w:val="clear" w:color="auto" w:fill="auto"/>
          </w:tcPr>
          <w:p w14:paraId="3D66D815" w14:textId="77777777" w:rsidR="006D2F6B" w:rsidRPr="006D2F6B" w:rsidRDefault="006D2F6B" w:rsidP="00D56F59">
            <w:pPr>
              <w:jc w:val="center"/>
              <w:rPr>
                <w:b/>
              </w:rPr>
            </w:pPr>
            <w:r w:rsidRPr="006D2F6B">
              <w:rPr>
                <w:b/>
              </w:rPr>
              <w:t>Base</w:t>
            </w:r>
          </w:p>
        </w:tc>
        <w:tc>
          <w:tcPr>
            <w:tcW w:w="784" w:type="dxa"/>
            <w:shd w:val="clear" w:color="auto" w:fill="auto"/>
          </w:tcPr>
          <w:p w14:paraId="2D7C7705" w14:textId="77777777" w:rsidR="006D2F6B" w:rsidRPr="006D2F6B" w:rsidRDefault="006D2F6B" w:rsidP="00D56F59">
            <w:pPr>
              <w:jc w:val="center"/>
              <w:rPr>
                <w:b/>
              </w:rPr>
            </w:pPr>
            <w:r w:rsidRPr="006D2F6B">
              <w:rPr>
                <w:b/>
              </w:rPr>
              <w:t>Year 1</w:t>
            </w:r>
          </w:p>
        </w:tc>
        <w:tc>
          <w:tcPr>
            <w:tcW w:w="784" w:type="dxa"/>
            <w:shd w:val="clear" w:color="auto" w:fill="auto"/>
          </w:tcPr>
          <w:p w14:paraId="1AEEC90B" w14:textId="77777777" w:rsidR="006D2F6B" w:rsidRPr="006D2F6B" w:rsidRDefault="006D2F6B" w:rsidP="00D56F59">
            <w:pPr>
              <w:jc w:val="center"/>
              <w:rPr>
                <w:b/>
              </w:rPr>
            </w:pPr>
            <w:r w:rsidRPr="006D2F6B">
              <w:rPr>
                <w:b/>
              </w:rPr>
              <w:t>Year 2</w:t>
            </w:r>
          </w:p>
        </w:tc>
        <w:tc>
          <w:tcPr>
            <w:tcW w:w="784" w:type="dxa"/>
            <w:shd w:val="clear" w:color="auto" w:fill="auto"/>
          </w:tcPr>
          <w:p w14:paraId="55A376BF" w14:textId="77777777" w:rsidR="006D2F6B" w:rsidRPr="006D2F6B" w:rsidRDefault="006D2F6B" w:rsidP="00D56F59">
            <w:pPr>
              <w:jc w:val="center"/>
              <w:rPr>
                <w:b/>
              </w:rPr>
            </w:pPr>
            <w:r w:rsidRPr="006D2F6B">
              <w:rPr>
                <w:b/>
              </w:rPr>
              <w:t>Year 3</w:t>
            </w:r>
          </w:p>
        </w:tc>
        <w:tc>
          <w:tcPr>
            <w:tcW w:w="784" w:type="dxa"/>
            <w:shd w:val="clear" w:color="auto" w:fill="auto"/>
          </w:tcPr>
          <w:p w14:paraId="7B0F6FB9" w14:textId="77777777" w:rsidR="006D2F6B" w:rsidRPr="006D2F6B" w:rsidRDefault="006D2F6B" w:rsidP="00D56F59">
            <w:pPr>
              <w:jc w:val="center"/>
              <w:rPr>
                <w:b/>
              </w:rPr>
            </w:pPr>
            <w:r w:rsidRPr="006D2F6B">
              <w:rPr>
                <w:b/>
              </w:rPr>
              <w:t>Year 4</w:t>
            </w:r>
          </w:p>
        </w:tc>
        <w:tc>
          <w:tcPr>
            <w:tcW w:w="785"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602A67">
        <w:tc>
          <w:tcPr>
            <w:tcW w:w="5356" w:type="dxa"/>
            <w:shd w:val="clear" w:color="auto" w:fill="auto"/>
          </w:tcPr>
          <w:p w14:paraId="0CEA91E9" w14:textId="2F2979FB" w:rsidR="006D2F6B" w:rsidRPr="006D2F6B" w:rsidRDefault="008E0EAB" w:rsidP="00D03B0C">
            <w:pPr>
              <w:pStyle w:val="PlainText"/>
            </w:pPr>
            <w:r>
              <w:rPr>
                <w:color w:val="000000" w:themeColor="text1"/>
              </w:rPr>
              <w:t xml:space="preserve">100% of teachers are using ACARA work samples and rubrics to make effective judgements about student progress.    </w:t>
            </w:r>
          </w:p>
        </w:tc>
        <w:tc>
          <w:tcPr>
            <w:tcW w:w="907" w:type="dxa"/>
            <w:shd w:val="clear" w:color="auto" w:fill="auto"/>
          </w:tcPr>
          <w:p w14:paraId="1DEC5E9B" w14:textId="00E509FB" w:rsidR="006D2F6B" w:rsidRPr="006D2F6B" w:rsidRDefault="00602A67" w:rsidP="00F524A0">
            <w:pPr>
              <w:jc w:val="center"/>
            </w:pPr>
            <w:r>
              <w:t>Not yet available</w:t>
            </w:r>
          </w:p>
        </w:tc>
        <w:tc>
          <w:tcPr>
            <w:tcW w:w="784" w:type="dxa"/>
            <w:shd w:val="clear" w:color="auto" w:fill="auto"/>
          </w:tcPr>
          <w:p w14:paraId="0FF61450" w14:textId="77777777" w:rsidR="006D2F6B" w:rsidRPr="006D2F6B" w:rsidRDefault="006D2F6B" w:rsidP="00F524A0">
            <w:pPr>
              <w:jc w:val="center"/>
            </w:pPr>
          </w:p>
        </w:tc>
        <w:tc>
          <w:tcPr>
            <w:tcW w:w="784" w:type="dxa"/>
            <w:shd w:val="clear" w:color="auto" w:fill="auto"/>
          </w:tcPr>
          <w:p w14:paraId="6E75F6C9" w14:textId="77777777" w:rsidR="006D2F6B" w:rsidRPr="006D2F6B" w:rsidRDefault="006D2F6B" w:rsidP="00F524A0">
            <w:pPr>
              <w:jc w:val="center"/>
            </w:pPr>
          </w:p>
        </w:tc>
        <w:tc>
          <w:tcPr>
            <w:tcW w:w="784" w:type="dxa"/>
            <w:shd w:val="clear" w:color="auto" w:fill="auto"/>
          </w:tcPr>
          <w:p w14:paraId="3E895FED" w14:textId="77777777" w:rsidR="006D2F6B" w:rsidRPr="006D2F6B" w:rsidRDefault="006D2F6B" w:rsidP="00F524A0">
            <w:pPr>
              <w:jc w:val="center"/>
            </w:pPr>
          </w:p>
        </w:tc>
        <w:tc>
          <w:tcPr>
            <w:tcW w:w="784" w:type="dxa"/>
            <w:shd w:val="clear" w:color="auto" w:fill="auto"/>
          </w:tcPr>
          <w:p w14:paraId="3731D7F2" w14:textId="77777777" w:rsidR="006D2F6B" w:rsidRPr="006D2F6B" w:rsidRDefault="006D2F6B" w:rsidP="00F524A0">
            <w:pPr>
              <w:jc w:val="center"/>
            </w:pPr>
          </w:p>
        </w:tc>
        <w:tc>
          <w:tcPr>
            <w:tcW w:w="785" w:type="dxa"/>
            <w:shd w:val="clear" w:color="auto" w:fill="auto"/>
          </w:tcPr>
          <w:p w14:paraId="0E363862" w14:textId="77777777" w:rsidR="006D2F6B" w:rsidRPr="006D2F6B" w:rsidRDefault="006D2F6B" w:rsidP="00F524A0">
            <w:pPr>
              <w:jc w:val="center"/>
            </w:pPr>
          </w:p>
        </w:tc>
      </w:tr>
      <w:tr w:rsidR="006D2F6B" w14:paraId="67C433EE" w14:textId="77777777" w:rsidTr="00602A67">
        <w:tc>
          <w:tcPr>
            <w:tcW w:w="5356" w:type="dxa"/>
            <w:shd w:val="clear" w:color="auto" w:fill="auto"/>
          </w:tcPr>
          <w:p w14:paraId="7BEC87F4" w14:textId="658D358C" w:rsidR="006D2F6B" w:rsidRPr="006D2F6B" w:rsidRDefault="008E0EAB" w:rsidP="00CF10F5">
            <w:pPr>
              <w:pStyle w:val="BodyText"/>
              <w:tabs>
                <w:tab w:val="left" w:pos="1560"/>
              </w:tabs>
              <w:spacing w:before="22"/>
            </w:pPr>
            <w:r>
              <w:rPr>
                <w:color w:val="000000" w:themeColor="text1"/>
              </w:rPr>
              <w:t xml:space="preserve">100% of teachers are using differentiated planning to meet the needs of all students.     </w:t>
            </w:r>
          </w:p>
        </w:tc>
        <w:tc>
          <w:tcPr>
            <w:tcW w:w="907" w:type="dxa"/>
            <w:shd w:val="clear" w:color="auto" w:fill="auto"/>
          </w:tcPr>
          <w:p w14:paraId="3C288E5B" w14:textId="3FDE261A" w:rsidR="006D2F6B" w:rsidRPr="006D2F6B" w:rsidRDefault="00602A67" w:rsidP="00F524A0">
            <w:pPr>
              <w:jc w:val="center"/>
            </w:pPr>
            <w:r>
              <w:t>Not yet available</w:t>
            </w:r>
          </w:p>
        </w:tc>
        <w:tc>
          <w:tcPr>
            <w:tcW w:w="784" w:type="dxa"/>
            <w:shd w:val="clear" w:color="auto" w:fill="auto"/>
          </w:tcPr>
          <w:p w14:paraId="7AEA167E" w14:textId="77777777" w:rsidR="006D2F6B" w:rsidRPr="006D2F6B" w:rsidRDefault="006D2F6B" w:rsidP="00F524A0">
            <w:pPr>
              <w:jc w:val="center"/>
            </w:pPr>
          </w:p>
        </w:tc>
        <w:tc>
          <w:tcPr>
            <w:tcW w:w="784" w:type="dxa"/>
            <w:shd w:val="clear" w:color="auto" w:fill="auto"/>
          </w:tcPr>
          <w:p w14:paraId="016DCD06" w14:textId="77777777" w:rsidR="006D2F6B" w:rsidRPr="006D2F6B" w:rsidRDefault="006D2F6B" w:rsidP="00F524A0">
            <w:pPr>
              <w:jc w:val="center"/>
            </w:pPr>
          </w:p>
        </w:tc>
        <w:tc>
          <w:tcPr>
            <w:tcW w:w="784" w:type="dxa"/>
            <w:shd w:val="clear" w:color="auto" w:fill="auto"/>
          </w:tcPr>
          <w:p w14:paraId="6C5F0C5C" w14:textId="77777777" w:rsidR="006D2F6B" w:rsidRPr="006D2F6B" w:rsidRDefault="006D2F6B" w:rsidP="00F524A0">
            <w:pPr>
              <w:jc w:val="center"/>
            </w:pPr>
          </w:p>
        </w:tc>
        <w:tc>
          <w:tcPr>
            <w:tcW w:w="784" w:type="dxa"/>
            <w:shd w:val="clear" w:color="auto" w:fill="auto"/>
          </w:tcPr>
          <w:p w14:paraId="156A1392" w14:textId="77777777" w:rsidR="006D2F6B" w:rsidRPr="006D2F6B" w:rsidRDefault="006D2F6B" w:rsidP="00F524A0">
            <w:pPr>
              <w:jc w:val="center"/>
            </w:pPr>
          </w:p>
        </w:tc>
        <w:tc>
          <w:tcPr>
            <w:tcW w:w="785" w:type="dxa"/>
            <w:shd w:val="clear" w:color="auto" w:fill="auto"/>
          </w:tcPr>
          <w:p w14:paraId="217D8781" w14:textId="77777777" w:rsidR="006D2F6B" w:rsidRPr="006D2F6B" w:rsidRDefault="006D2F6B" w:rsidP="00F524A0">
            <w:pPr>
              <w:jc w:val="center"/>
            </w:pPr>
          </w:p>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10201" w:type="dxa"/>
        <w:tblCellMar>
          <w:top w:w="113" w:type="dxa"/>
          <w:bottom w:w="113" w:type="dxa"/>
        </w:tblCellMar>
        <w:tblLook w:val="04A0" w:firstRow="1" w:lastRow="0" w:firstColumn="1" w:lastColumn="0" w:noHBand="0" w:noVBand="1"/>
      </w:tblPr>
      <w:tblGrid>
        <w:gridCol w:w="10201"/>
      </w:tblGrid>
      <w:tr w:rsidR="0059350F" w14:paraId="22251EEF" w14:textId="77777777" w:rsidTr="0046285D">
        <w:trPr>
          <w:trHeight w:val="401"/>
        </w:trPr>
        <w:tc>
          <w:tcPr>
            <w:tcW w:w="10201" w:type="dxa"/>
            <w:shd w:val="clear" w:color="auto" w:fill="auto"/>
          </w:tcPr>
          <w:p w14:paraId="2B7EDC81" w14:textId="74BF0069" w:rsidR="003C69DC" w:rsidRDefault="00F524A0" w:rsidP="003C69DC">
            <w:pPr>
              <w:pStyle w:val="PlainText"/>
              <w:numPr>
                <w:ilvl w:val="0"/>
                <w:numId w:val="2"/>
              </w:numPr>
              <w:ind w:left="426" w:hanging="425"/>
            </w:pPr>
            <w:r>
              <w:t xml:space="preserve">Data from NAPLAN shows a </w:t>
            </w:r>
            <w:r w:rsidR="0008035D">
              <w:t xml:space="preserve">decrease in </w:t>
            </w:r>
            <w:r>
              <w:t>growth in writing for students in year 5</w:t>
            </w:r>
            <w:r w:rsidR="00000789">
              <w:t>.</w:t>
            </w:r>
          </w:p>
          <w:p w14:paraId="32A0E7B7" w14:textId="19B7195F" w:rsidR="00CE6E68" w:rsidRDefault="00CE6E68" w:rsidP="00CE6E68">
            <w:pPr>
              <w:pStyle w:val="PlainText"/>
              <w:numPr>
                <w:ilvl w:val="0"/>
                <w:numId w:val="2"/>
              </w:numPr>
              <w:ind w:left="426" w:hanging="425"/>
            </w:pPr>
            <w:r>
              <w:t xml:space="preserve">Data from NAPLAN shows a </w:t>
            </w:r>
            <w:r w:rsidR="0008035D">
              <w:t xml:space="preserve">slight </w:t>
            </w:r>
            <w:r>
              <w:t>decrease in the number of students in the top two bands for writing in year 3</w:t>
            </w:r>
            <w:r w:rsidR="00000789">
              <w:t>.</w:t>
            </w:r>
          </w:p>
          <w:p w14:paraId="61E6191E" w14:textId="7345DFA1" w:rsidR="00CE6E68" w:rsidRDefault="00CE6E68" w:rsidP="00CE6E68">
            <w:pPr>
              <w:pStyle w:val="PlainText"/>
              <w:numPr>
                <w:ilvl w:val="0"/>
                <w:numId w:val="2"/>
              </w:numPr>
              <w:ind w:left="426" w:hanging="425"/>
            </w:pPr>
            <w:r>
              <w:t>Data from NAPLAN shows a</w:t>
            </w:r>
            <w:r w:rsidR="0008035D">
              <w:t>n increase in</w:t>
            </w:r>
            <w:r>
              <w:t xml:space="preserve"> the number of students in the top two bands for writing in year 5</w:t>
            </w:r>
            <w:r w:rsidR="00000789">
              <w:t>.</w:t>
            </w:r>
          </w:p>
          <w:p w14:paraId="3CDE0F3D" w14:textId="3D4A8AD5" w:rsidR="00CF3F40" w:rsidRDefault="00F524A0" w:rsidP="003C69DC">
            <w:pPr>
              <w:pStyle w:val="PlainText"/>
              <w:numPr>
                <w:ilvl w:val="0"/>
                <w:numId w:val="2"/>
              </w:numPr>
              <w:ind w:left="426" w:hanging="425"/>
            </w:pPr>
            <w:r>
              <w:t>Nearly half our teachers are highly confident in teaching the components of a balanced literacy program</w:t>
            </w:r>
            <w:r w:rsidR="00000789">
              <w:t>.</w:t>
            </w:r>
          </w:p>
          <w:p w14:paraId="2EA024D0" w14:textId="77777777" w:rsidR="0046285D" w:rsidRDefault="0046285D" w:rsidP="00F524A0">
            <w:pPr>
              <w:pStyle w:val="PlainText"/>
              <w:numPr>
                <w:ilvl w:val="0"/>
                <w:numId w:val="2"/>
              </w:numPr>
              <w:ind w:left="426" w:hanging="425"/>
            </w:pPr>
            <w:r>
              <w:t>Two thirds of students are receiving regular and targeted feedback on their writing.</w:t>
            </w:r>
          </w:p>
          <w:p w14:paraId="2DFB70DA" w14:textId="6FBCE797" w:rsidR="00161E50" w:rsidRDefault="00F524A0" w:rsidP="00F524A0">
            <w:pPr>
              <w:pStyle w:val="PlainText"/>
              <w:numPr>
                <w:ilvl w:val="0"/>
                <w:numId w:val="2"/>
              </w:numPr>
              <w:ind w:left="426" w:hanging="425"/>
            </w:pPr>
            <w:r>
              <w:t>One third of students are not receiving feedback on a weekly basis about their writing or</w:t>
            </w:r>
            <w:r w:rsidR="0046285D">
              <w:t xml:space="preserve"> have it used </w:t>
            </w:r>
            <w:r>
              <w:t>it to set</w:t>
            </w:r>
            <w:r w:rsidR="0046285D">
              <w:t xml:space="preserve"> learning goals around writing</w:t>
            </w:r>
            <w:r w:rsidR="00000789">
              <w:t>.</w:t>
            </w:r>
          </w:p>
        </w:tc>
      </w:tr>
    </w:tbl>
    <w:p w14:paraId="113E7E85" w14:textId="1A416521" w:rsidR="002F4184" w:rsidRDefault="00937D6F" w:rsidP="002F4184">
      <w:pPr>
        <w:pStyle w:val="Heading3"/>
      </w:pPr>
      <w:r>
        <w:t>Our achievements for this priority</w:t>
      </w:r>
    </w:p>
    <w:tbl>
      <w:tblPr>
        <w:tblStyle w:val="TableGrid"/>
        <w:tblW w:w="10201" w:type="dxa"/>
        <w:tblCellMar>
          <w:top w:w="113" w:type="dxa"/>
          <w:bottom w:w="113" w:type="dxa"/>
        </w:tblCellMar>
        <w:tblLook w:val="04A0" w:firstRow="1" w:lastRow="0" w:firstColumn="1" w:lastColumn="0" w:noHBand="0" w:noVBand="1"/>
      </w:tblPr>
      <w:tblGrid>
        <w:gridCol w:w="10201"/>
      </w:tblGrid>
      <w:tr w:rsidR="00937D6F" w14:paraId="67D0E0F5" w14:textId="77777777" w:rsidTr="0046285D">
        <w:trPr>
          <w:trHeight w:val="223"/>
        </w:trPr>
        <w:tc>
          <w:tcPr>
            <w:tcW w:w="10201" w:type="dxa"/>
            <w:shd w:val="clear" w:color="auto" w:fill="auto"/>
          </w:tcPr>
          <w:p w14:paraId="23D7DE9C" w14:textId="27ADE49F" w:rsidR="0046285D" w:rsidRDefault="0046285D" w:rsidP="00CA26FB">
            <w:pPr>
              <w:pStyle w:val="BodyText"/>
              <w:rPr>
                <w:b/>
              </w:rPr>
            </w:pPr>
            <w:r>
              <w:rPr>
                <w:b/>
              </w:rPr>
              <w:t>Further develop the PLC within the school to drive the school improvement priorities</w:t>
            </w:r>
          </w:p>
          <w:p w14:paraId="3F5C3D2D" w14:textId="6AEE6BDC" w:rsidR="0046285D" w:rsidRDefault="0046285D" w:rsidP="0046285D">
            <w:pPr>
              <w:pStyle w:val="ListBullet"/>
            </w:pPr>
            <w:r>
              <w:t>The</w:t>
            </w:r>
            <w:r w:rsidR="00124865">
              <w:t xml:space="preserve"> PLC within the </w:t>
            </w:r>
            <w:r>
              <w:t>school had a continued focus on teaching writing more consistently across the school and has no teachers without knowledge of the balanced writing program.</w:t>
            </w:r>
          </w:p>
          <w:p w14:paraId="045272FF" w14:textId="5BA3320B" w:rsidR="00124865" w:rsidRDefault="00124865" w:rsidP="0046285D">
            <w:pPr>
              <w:pStyle w:val="ListBullet"/>
            </w:pPr>
            <w:r>
              <w:t>Through the focus of the PLC, three quarters of our students are receiving regular feedback on their writing and are using it to set individual goals for improving their learning.</w:t>
            </w:r>
          </w:p>
          <w:p w14:paraId="5672A6C2" w14:textId="0774390C" w:rsidR="00124865" w:rsidRDefault="00124865" w:rsidP="0046285D">
            <w:pPr>
              <w:pStyle w:val="ListBullet"/>
            </w:pPr>
            <w:r>
              <w:t>We now have data from teachers to assist us to set the agenda for the PLC and PLT meetings for 2020.</w:t>
            </w:r>
          </w:p>
          <w:p w14:paraId="46F9B454" w14:textId="6B534CF9" w:rsidR="0046285D" w:rsidRDefault="00124865" w:rsidP="0046285D">
            <w:pPr>
              <w:pStyle w:val="ListBullet"/>
            </w:pPr>
            <w:r>
              <w:t>Participation i</w:t>
            </w:r>
            <w:r w:rsidR="0046285D">
              <w:t xml:space="preserve">n the Early Literacy Project with Christine </w:t>
            </w:r>
            <w:proofErr w:type="spellStart"/>
            <w:r w:rsidR="0046285D">
              <w:t>Topfer</w:t>
            </w:r>
            <w:proofErr w:type="spellEnd"/>
            <w:r>
              <w:t xml:space="preserve"> was linked with writing and evidenced based practice to </w:t>
            </w:r>
            <w:r w:rsidR="007127BF">
              <w:t>address priority 1 from the Strategic Plan.</w:t>
            </w:r>
          </w:p>
          <w:p w14:paraId="23BA474B" w14:textId="77777777" w:rsidR="00CA26FB" w:rsidRDefault="00CA26FB" w:rsidP="007127BF">
            <w:pPr>
              <w:pStyle w:val="ListBullet"/>
              <w:numPr>
                <w:ilvl w:val="0"/>
                <w:numId w:val="0"/>
              </w:numPr>
              <w:ind w:left="360"/>
            </w:pPr>
          </w:p>
          <w:p w14:paraId="3C4DCF81" w14:textId="5EA1FFFC" w:rsidR="007127BF" w:rsidRDefault="007127BF" w:rsidP="007127BF">
            <w:pPr>
              <w:pStyle w:val="BodyText"/>
              <w:rPr>
                <w:b/>
              </w:rPr>
            </w:pPr>
            <w:r>
              <w:rPr>
                <w:b/>
              </w:rPr>
              <w:t>Preparation for 2020</w:t>
            </w:r>
          </w:p>
          <w:p w14:paraId="1FCCFD2B" w14:textId="77777777" w:rsidR="007127BF" w:rsidRDefault="007127BF" w:rsidP="007127BF">
            <w:pPr>
              <w:pStyle w:val="ListBullet"/>
            </w:pPr>
            <w:r>
              <w:t>The leadership team participated in a series of professional learning opportunities to assist them to effectively lead the PLC and PLTs within the school with a focus on student growth and the effective use of data.</w:t>
            </w:r>
          </w:p>
          <w:p w14:paraId="101E57BD" w14:textId="2A0129BB" w:rsidR="007127BF" w:rsidRDefault="007127BF" w:rsidP="007127BF">
            <w:pPr>
              <w:pStyle w:val="ListBullet"/>
            </w:pPr>
            <w:r>
              <w:t xml:space="preserve">The school has continued to develop its understanding of a PLC and the role it plays in improved outcomes for students.      </w:t>
            </w:r>
          </w:p>
          <w:p w14:paraId="48C5D032" w14:textId="3D0D805F" w:rsidR="007127BF" w:rsidRPr="00CA26FB" w:rsidRDefault="007127BF" w:rsidP="00000789">
            <w:pPr>
              <w:pStyle w:val="ListBullet"/>
            </w:pPr>
            <w:r>
              <w:t>The Literacy Committee developed draft rubrics and planning documents to be introduced in Semester 1 of 2020.</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10201" w:type="dxa"/>
        <w:tblCellMar>
          <w:top w:w="113" w:type="dxa"/>
          <w:bottom w:w="113" w:type="dxa"/>
        </w:tblCellMar>
        <w:tblLook w:val="04A0" w:firstRow="1" w:lastRow="0" w:firstColumn="1" w:lastColumn="0" w:noHBand="0" w:noVBand="1"/>
      </w:tblPr>
      <w:tblGrid>
        <w:gridCol w:w="10201"/>
      </w:tblGrid>
      <w:tr w:rsidR="00937D6F" w14:paraId="18CB09D5" w14:textId="77777777" w:rsidTr="007127BF">
        <w:trPr>
          <w:trHeight w:val="116"/>
        </w:trPr>
        <w:tc>
          <w:tcPr>
            <w:tcW w:w="10201" w:type="dxa"/>
            <w:shd w:val="clear" w:color="auto" w:fill="auto"/>
          </w:tcPr>
          <w:p w14:paraId="352ABA39" w14:textId="77777777" w:rsidR="00937D6F" w:rsidRDefault="007127BF" w:rsidP="007127BF">
            <w:pPr>
              <w:pStyle w:val="ListBullet"/>
              <w:numPr>
                <w:ilvl w:val="0"/>
                <w:numId w:val="0"/>
              </w:numPr>
              <w:rPr>
                <w:b/>
                <w:bCs/>
              </w:rPr>
            </w:pPr>
            <w:r w:rsidRPr="007127BF">
              <w:rPr>
                <w:b/>
                <w:bCs/>
              </w:rPr>
              <w:t>Further develop consistency of practice across the school</w:t>
            </w:r>
          </w:p>
          <w:p w14:paraId="3C26D7AB" w14:textId="4A02815F" w:rsidR="007127BF" w:rsidRDefault="00BB71EA" w:rsidP="007127BF">
            <w:pPr>
              <w:pStyle w:val="ListBullet"/>
              <w:numPr>
                <w:ilvl w:val="0"/>
                <w:numId w:val="19"/>
              </w:numPr>
            </w:pPr>
            <w:r>
              <w:t>Embed consistent use of data to drive the teaching and learning cycle with teachers using Helen Timperley’s Spiral of Inquiry to focus on student growth</w:t>
            </w:r>
            <w:r w:rsidR="00000789">
              <w:t>.</w:t>
            </w:r>
          </w:p>
          <w:p w14:paraId="6DA6D5E1" w14:textId="5D29F094" w:rsidR="00BB71EA" w:rsidRDefault="00BB71EA" w:rsidP="007127BF">
            <w:pPr>
              <w:pStyle w:val="ListBullet"/>
              <w:numPr>
                <w:ilvl w:val="0"/>
                <w:numId w:val="19"/>
              </w:numPr>
            </w:pPr>
            <w:r>
              <w:t>Finalise the rubrics and planning documents used across the school to ensure consistency in assessment and reporting</w:t>
            </w:r>
            <w:r w:rsidR="00000789">
              <w:t>.</w:t>
            </w:r>
          </w:p>
          <w:p w14:paraId="21501890" w14:textId="2CFF3A27" w:rsidR="00BB71EA" w:rsidRPr="007127BF" w:rsidRDefault="00BB71EA" w:rsidP="007127BF">
            <w:pPr>
              <w:pStyle w:val="ListBullet"/>
              <w:numPr>
                <w:ilvl w:val="0"/>
                <w:numId w:val="19"/>
              </w:numPr>
            </w:pPr>
            <w:r>
              <w:t>Establish baseline data from students and use their feedback with teachers to continue to develop classroom practices and use of feedback and goal setting</w:t>
            </w:r>
            <w:r w:rsidR="00000789">
              <w:t>.</w:t>
            </w:r>
          </w:p>
        </w:tc>
      </w:tr>
    </w:tbl>
    <w:p w14:paraId="1E974B19" w14:textId="3242A0F6" w:rsidR="009E1E5C" w:rsidRPr="000F0410" w:rsidRDefault="009E1E5C" w:rsidP="009E1E5C">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Pr="00040A2A">
        <w:rPr>
          <w:rFonts w:cstheme="minorHAnsi"/>
          <w:color w:val="1F4E79" w:themeColor="accent1" w:themeShade="80"/>
          <w:szCs w:val="24"/>
        </w:rPr>
        <w:t xml:space="preserve">Improve </w:t>
      </w:r>
      <w:r>
        <w:rPr>
          <w:rFonts w:cstheme="minorHAnsi"/>
          <w:color w:val="1F4E79" w:themeColor="accent1" w:themeShade="80"/>
          <w:szCs w:val="24"/>
        </w:rPr>
        <w:t>numeracy</w:t>
      </w:r>
      <w:r w:rsidRPr="00040A2A">
        <w:rPr>
          <w:rFonts w:cstheme="minorHAnsi"/>
          <w:color w:val="1F4E79" w:themeColor="accent1" w:themeShade="80"/>
          <w:szCs w:val="24"/>
        </w:rPr>
        <w:t xml:space="preserve"> for all students with an emphasis on growth</w:t>
      </w:r>
    </w:p>
    <w:p w14:paraId="516A240E" w14:textId="77777777" w:rsidR="00EB70CE" w:rsidRPr="00837137" w:rsidRDefault="00EB70CE" w:rsidP="00EB70CE">
      <w:pPr>
        <w:pStyle w:val="Heading3"/>
      </w:pPr>
      <w:r w:rsidRPr="00837137">
        <w:t>Targets or measures</w:t>
      </w:r>
    </w:p>
    <w:p w14:paraId="6FF6208C" w14:textId="612E5F54" w:rsidR="00EB70CE" w:rsidRDefault="00EB70CE" w:rsidP="00EB70CE">
      <w:pPr>
        <w:pStyle w:val="BodyText"/>
      </w:pPr>
      <w:r>
        <w:t>By the end of 20</w:t>
      </w:r>
      <w:r w:rsidR="009E1E5C">
        <w:t>23</w:t>
      </w:r>
      <w:r>
        <w:t xml:space="preserve"> we will achieve:</w:t>
      </w:r>
    </w:p>
    <w:p w14:paraId="5DA5E85E" w14:textId="76E4C251" w:rsidR="009E1E5C" w:rsidRPr="00202EC9" w:rsidRDefault="009E1E5C" w:rsidP="009E1E5C">
      <w:pPr>
        <w:pStyle w:val="ListBullet"/>
      </w:pPr>
      <w:r w:rsidRPr="00202EC9">
        <w:rPr>
          <w:color w:val="000000" w:themeColor="text1"/>
        </w:rPr>
        <w:t xml:space="preserve">Percentage of students achieving at or above expected growth from year 3 to year 5 in numeracy will be equal to, or above, like schools (SSSG) averaged over the last three years of the plan.  </w:t>
      </w:r>
    </w:p>
    <w:p w14:paraId="40D053DC" w14:textId="77777777" w:rsidR="009E1E5C" w:rsidRPr="00202EC9" w:rsidRDefault="009E1E5C" w:rsidP="009E1E5C">
      <w:pPr>
        <w:pStyle w:val="ListBullet"/>
      </w:pPr>
      <w:r w:rsidRPr="00202EC9">
        <w:rPr>
          <w:color w:val="000000" w:themeColor="text1"/>
        </w:rPr>
        <w:t xml:space="preserve">Percentage of students in the top two bands will be equal to, or above, like schools (SSSG) averaged over the last three years of the plan.  </w:t>
      </w:r>
    </w:p>
    <w:p w14:paraId="67BB2AD8" w14:textId="06FEF24D" w:rsidR="009E1E5C" w:rsidRPr="00202EC9" w:rsidRDefault="00E15092" w:rsidP="009E1E5C">
      <w:pPr>
        <w:pStyle w:val="ListBullet"/>
      </w:pPr>
      <w:r w:rsidRPr="00202EC9">
        <w:rPr>
          <w:color w:val="000000" w:themeColor="text1"/>
        </w:rPr>
        <w:t>Percentage of students 1 standard deviation above the median score</w:t>
      </w:r>
      <w:r w:rsidR="00EA3949" w:rsidRPr="00202EC9">
        <w:rPr>
          <w:color w:val="000000" w:themeColor="text1"/>
        </w:rPr>
        <w:t xml:space="preserve"> in PAT Maths</w:t>
      </w:r>
      <w:r w:rsidRPr="00202EC9">
        <w:rPr>
          <w:color w:val="000000" w:themeColor="text1"/>
        </w:rPr>
        <w:t>.</w:t>
      </w:r>
    </w:p>
    <w:p w14:paraId="4801C409" w14:textId="5BE281EA" w:rsidR="00E15092" w:rsidRPr="00202EC9" w:rsidRDefault="00E15092" w:rsidP="009E1E5C">
      <w:pPr>
        <w:pStyle w:val="ListBullet"/>
      </w:pPr>
      <w:r w:rsidRPr="00202EC9">
        <w:rPr>
          <w:color w:val="000000" w:themeColor="text1"/>
        </w:rPr>
        <w:t>Percentage of students achieving above expected standard against the ACARA Achievement Standards and correlation to PAT and NAPLAN data</w:t>
      </w:r>
      <w:r w:rsidR="00CF10F5" w:rsidRPr="00202EC9">
        <w:rPr>
          <w:color w:val="000000" w:themeColor="text1"/>
        </w:rPr>
        <w:t>.</w:t>
      </w:r>
    </w:p>
    <w:p w14:paraId="3FB9F46B" w14:textId="77777777" w:rsidR="00CF10F5" w:rsidRPr="00202EC9" w:rsidRDefault="00E15092" w:rsidP="009E1E5C">
      <w:pPr>
        <w:pStyle w:val="ListBullet"/>
      </w:pPr>
      <w:r w:rsidRPr="00202EC9">
        <w:rPr>
          <w:color w:val="000000" w:themeColor="text1"/>
        </w:rPr>
        <w:t>Identify perception data to use over the lif</w:t>
      </w:r>
      <w:r w:rsidR="00CF10F5" w:rsidRPr="00202EC9">
        <w:rPr>
          <w:color w:val="000000" w:themeColor="text1"/>
        </w:rPr>
        <w:t>e of the plan with teachers and students.</w:t>
      </w:r>
    </w:p>
    <w:p w14:paraId="46A8A473" w14:textId="472601E4" w:rsidR="00E15092" w:rsidRPr="00202EC9" w:rsidRDefault="00E15092" w:rsidP="009E1E5C">
      <w:pPr>
        <w:pStyle w:val="ListBullet"/>
      </w:pPr>
      <w:r w:rsidRPr="00202EC9">
        <w:rPr>
          <w:color w:val="000000" w:themeColor="text1"/>
        </w:rPr>
        <w:t>Percentage of students achieving expected or better growth in PIPS as compared to the growth in reading</w:t>
      </w:r>
    </w:p>
    <w:p w14:paraId="1FDCB501" w14:textId="77777777" w:rsidR="00657BDA" w:rsidRPr="00202EC9" w:rsidRDefault="00657BDA" w:rsidP="00657BDA">
      <w:pPr>
        <w:pStyle w:val="ListBullet"/>
      </w:pPr>
      <w:r w:rsidRPr="00202EC9">
        <w:rPr>
          <w:color w:val="000000" w:themeColor="text1"/>
        </w:rPr>
        <w:t xml:space="preserve">100% of teachers are using ACARA work samples and rubrics to make effective judgements about student progress.    </w:t>
      </w:r>
    </w:p>
    <w:p w14:paraId="18235E13" w14:textId="0EBE428C" w:rsidR="00657BDA" w:rsidRPr="00202EC9" w:rsidRDefault="00657BDA" w:rsidP="00657BDA">
      <w:pPr>
        <w:pStyle w:val="ListBullet"/>
        <w:rPr>
          <w:b/>
          <w:i/>
        </w:rPr>
      </w:pPr>
      <w:r w:rsidRPr="00202EC9">
        <w:t xml:space="preserve">100% of teachers are using differentiated planning to meet the needs of all students.     </w:t>
      </w:r>
    </w:p>
    <w:p w14:paraId="6E155FD1" w14:textId="77777777" w:rsidR="008D6E52" w:rsidRPr="00373DC0" w:rsidRDefault="008D6E52" w:rsidP="008D6E52">
      <w:pPr>
        <w:pStyle w:val="BodyText"/>
      </w:pPr>
      <w:r w:rsidRPr="00373DC0">
        <w:t>In 20</w:t>
      </w:r>
      <w:r>
        <w:t>19</w:t>
      </w:r>
      <w:r w:rsidRPr="00373DC0">
        <w:t xml:space="preserve"> we </w:t>
      </w:r>
      <w:r>
        <w:t>implemented</w:t>
      </w:r>
      <w:r w:rsidRPr="00373DC0">
        <w:t xml:space="preserve"> this priority throug</w:t>
      </w:r>
      <w:r>
        <w:t xml:space="preserve">h the following </w:t>
      </w:r>
      <w:r w:rsidRPr="00373DC0">
        <w:t>strategies.</w:t>
      </w:r>
    </w:p>
    <w:p w14:paraId="4208FED7" w14:textId="288C3D85" w:rsidR="008D6E52" w:rsidRPr="008D6E52" w:rsidRDefault="008D6E52" w:rsidP="008D6E52">
      <w:pPr>
        <w:pStyle w:val="ListBullet"/>
      </w:pPr>
      <w:r>
        <w:rPr>
          <w:rFonts w:cstheme="minorHAnsi"/>
        </w:rPr>
        <w:t>Whole school participation in professional learning with Anita Chin from Inspired Mathematics Teaching.</w:t>
      </w:r>
    </w:p>
    <w:p w14:paraId="4509CE62" w14:textId="34B65151" w:rsidR="008D6E52" w:rsidRPr="00202EC9" w:rsidRDefault="00CD62D0" w:rsidP="008D6E52">
      <w:pPr>
        <w:pStyle w:val="ListBullet"/>
      </w:pPr>
      <w:r>
        <w:rPr>
          <w:rFonts w:cstheme="minorHAnsi"/>
        </w:rPr>
        <w:t>Vision for the teaching of maths established through the school’s PLC.</w:t>
      </w:r>
    </w:p>
    <w:p w14:paraId="515A6758" w14:textId="42813F0F" w:rsidR="00202EC9" w:rsidRPr="00A5195B" w:rsidRDefault="00202EC9" w:rsidP="008D6E52">
      <w:pPr>
        <w:pStyle w:val="ListBullet"/>
      </w:pPr>
      <w:r>
        <w:rPr>
          <w:rFonts w:cstheme="minorHAnsi"/>
        </w:rPr>
        <w:t>Upgraded the resources across the school to reflect a consistent approach to the teaching of maths.</w:t>
      </w:r>
    </w:p>
    <w:p w14:paraId="32A84660" w14:textId="32578515"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10207" w:type="dxa"/>
        <w:tblInd w:w="-5" w:type="dxa"/>
        <w:tblCellMar>
          <w:top w:w="57" w:type="dxa"/>
          <w:left w:w="57" w:type="dxa"/>
          <w:bottom w:w="57" w:type="dxa"/>
          <w:right w:w="57" w:type="dxa"/>
        </w:tblCellMar>
        <w:tblLook w:val="04A0" w:firstRow="1" w:lastRow="0" w:firstColumn="1" w:lastColumn="0" w:noHBand="0" w:noVBand="1"/>
      </w:tblPr>
      <w:tblGrid>
        <w:gridCol w:w="5443"/>
        <w:gridCol w:w="794"/>
        <w:gridCol w:w="794"/>
        <w:gridCol w:w="794"/>
        <w:gridCol w:w="794"/>
        <w:gridCol w:w="794"/>
        <w:gridCol w:w="794"/>
      </w:tblGrid>
      <w:tr w:rsidR="00775115" w14:paraId="6F1973EF" w14:textId="77777777" w:rsidTr="00A5195B">
        <w:tc>
          <w:tcPr>
            <w:tcW w:w="5443" w:type="dxa"/>
            <w:shd w:val="clear" w:color="auto" w:fill="auto"/>
          </w:tcPr>
          <w:p w14:paraId="4B964539" w14:textId="77777777" w:rsidR="00775115" w:rsidRPr="00D03B0C" w:rsidRDefault="00775115" w:rsidP="00A5195B">
            <w:pPr>
              <w:rPr>
                <w:b/>
              </w:rPr>
            </w:pPr>
            <w:r w:rsidRPr="00D03B0C">
              <w:rPr>
                <w:b/>
              </w:rPr>
              <w:t>Targets or Measures</w:t>
            </w:r>
          </w:p>
        </w:tc>
        <w:tc>
          <w:tcPr>
            <w:tcW w:w="794" w:type="dxa"/>
            <w:shd w:val="clear" w:color="auto" w:fill="auto"/>
          </w:tcPr>
          <w:p w14:paraId="5EEA6E47" w14:textId="77777777" w:rsidR="00775115" w:rsidRPr="00D03B0C" w:rsidRDefault="00775115" w:rsidP="00A5195B">
            <w:pPr>
              <w:jc w:val="center"/>
              <w:rPr>
                <w:b/>
              </w:rPr>
            </w:pPr>
            <w:r w:rsidRPr="00D03B0C">
              <w:rPr>
                <w:b/>
              </w:rPr>
              <w:t>Base</w:t>
            </w:r>
          </w:p>
        </w:tc>
        <w:tc>
          <w:tcPr>
            <w:tcW w:w="794" w:type="dxa"/>
            <w:shd w:val="clear" w:color="auto" w:fill="auto"/>
          </w:tcPr>
          <w:p w14:paraId="62957A13" w14:textId="77777777" w:rsidR="00775115" w:rsidRPr="00D03B0C" w:rsidRDefault="00775115" w:rsidP="00A5195B">
            <w:pPr>
              <w:jc w:val="center"/>
              <w:rPr>
                <w:b/>
              </w:rPr>
            </w:pPr>
            <w:r w:rsidRPr="00D03B0C">
              <w:rPr>
                <w:b/>
              </w:rPr>
              <w:t>Year 1</w:t>
            </w:r>
          </w:p>
        </w:tc>
        <w:tc>
          <w:tcPr>
            <w:tcW w:w="794" w:type="dxa"/>
            <w:shd w:val="clear" w:color="auto" w:fill="auto"/>
          </w:tcPr>
          <w:p w14:paraId="1B791467" w14:textId="77777777" w:rsidR="00775115" w:rsidRPr="00D03B0C" w:rsidRDefault="00775115" w:rsidP="00A5195B">
            <w:pPr>
              <w:jc w:val="center"/>
              <w:rPr>
                <w:b/>
              </w:rPr>
            </w:pPr>
            <w:r w:rsidRPr="00D03B0C">
              <w:rPr>
                <w:b/>
              </w:rPr>
              <w:t>Year 2</w:t>
            </w:r>
          </w:p>
        </w:tc>
        <w:tc>
          <w:tcPr>
            <w:tcW w:w="794" w:type="dxa"/>
            <w:shd w:val="clear" w:color="auto" w:fill="auto"/>
          </w:tcPr>
          <w:p w14:paraId="0F1083AB" w14:textId="77777777" w:rsidR="00775115" w:rsidRPr="00D03B0C" w:rsidRDefault="00775115" w:rsidP="00A5195B">
            <w:pPr>
              <w:jc w:val="center"/>
              <w:rPr>
                <w:b/>
              </w:rPr>
            </w:pPr>
            <w:r w:rsidRPr="00D03B0C">
              <w:rPr>
                <w:b/>
              </w:rPr>
              <w:t>Year 3</w:t>
            </w:r>
          </w:p>
        </w:tc>
        <w:tc>
          <w:tcPr>
            <w:tcW w:w="794" w:type="dxa"/>
            <w:shd w:val="clear" w:color="auto" w:fill="auto"/>
          </w:tcPr>
          <w:p w14:paraId="0797FF35" w14:textId="77777777" w:rsidR="00775115" w:rsidRPr="00D03B0C" w:rsidRDefault="00775115" w:rsidP="00A5195B">
            <w:pPr>
              <w:jc w:val="center"/>
              <w:rPr>
                <w:b/>
              </w:rPr>
            </w:pPr>
            <w:r w:rsidRPr="00D03B0C">
              <w:rPr>
                <w:b/>
              </w:rPr>
              <w:t>Year 4</w:t>
            </w:r>
          </w:p>
        </w:tc>
        <w:tc>
          <w:tcPr>
            <w:tcW w:w="794" w:type="dxa"/>
            <w:shd w:val="clear" w:color="auto" w:fill="auto"/>
          </w:tcPr>
          <w:p w14:paraId="6D263DB0" w14:textId="77777777" w:rsidR="00775115" w:rsidRPr="00D03B0C" w:rsidRDefault="00775115" w:rsidP="00A5195B">
            <w:pPr>
              <w:jc w:val="center"/>
              <w:rPr>
                <w:b/>
              </w:rPr>
            </w:pPr>
            <w:r w:rsidRPr="00D03B0C">
              <w:rPr>
                <w:b/>
              </w:rPr>
              <w:t>Year 5</w:t>
            </w:r>
          </w:p>
        </w:tc>
      </w:tr>
      <w:tr w:rsidR="00775115" w14:paraId="01A44DB7" w14:textId="77777777" w:rsidTr="00A5195B">
        <w:tc>
          <w:tcPr>
            <w:tcW w:w="5443" w:type="dxa"/>
            <w:shd w:val="clear" w:color="auto" w:fill="auto"/>
          </w:tcPr>
          <w:p w14:paraId="3E818059" w14:textId="20E646F8" w:rsidR="00775115" w:rsidRPr="00D03B0C" w:rsidRDefault="00775115" w:rsidP="00A5195B">
            <w:pPr>
              <w:pStyle w:val="PlainText"/>
            </w:pPr>
            <w:r>
              <w:t xml:space="preserve">Students achieving at or above expected growth from year 3 to year 5 in numeracy compared to like schools (averaged over the last three years of the plan).  Current target is </w:t>
            </w:r>
            <w:r w:rsidR="00F23F37">
              <w:t>57</w:t>
            </w:r>
            <w:r>
              <w:t>%</w:t>
            </w:r>
            <w:r w:rsidR="00F23F37">
              <w:t>.</w:t>
            </w:r>
          </w:p>
        </w:tc>
        <w:tc>
          <w:tcPr>
            <w:tcW w:w="794" w:type="dxa"/>
            <w:shd w:val="clear" w:color="auto" w:fill="auto"/>
          </w:tcPr>
          <w:p w14:paraId="0925BF29" w14:textId="77777777" w:rsidR="00775115" w:rsidRPr="003E0513" w:rsidRDefault="00775115" w:rsidP="00A5195B">
            <w:pPr>
              <w:jc w:val="center"/>
              <w:rPr>
                <w:i/>
                <w:iCs/>
              </w:rPr>
            </w:pPr>
            <w:r w:rsidRPr="003E0513">
              <w:rPr>
                <w:i/>
                <w:iCs/>
              </w:rPr>
              <w:t>2016 to 2018</w:t>
            </w:r>
          </w:p>
          <w:p w14:paraId="08233FCB" w14:textId="50AE3D5E" w:rsidR="00775115" w:rsidRPr="003E0513" w:rsidRDefault="00AB71CD" w:rsidP="00A5195B">
            <w:pPr>
              <w:jc w:val="center"/>
            </w:pPr>
            <w:r w:rsidRPr="003E0513">
              <w:t>46.8</w:t>
            </w:r>
            <w:r w:rsidR="00775115" w:rsidRPr="003E0513">
              <w:t>%</w:t>
            </w:r>
          </w:p>
        </w:tc>
        <w:tc>
          <w:tcPr>
            <w:tcW w:w="794" w:type="dxa"/>
            <w:shd w:val="clear" w:color="auto" w:fill="auto"/>
          </w:tcPr>
          <w:p w14:paraId="2B8191AB" w14:textId="77777777" w:rsidR="00722377" w:rsidRPr="003E0513" w:rsidRDefault="00722377" w:rsidP="00A5195B">
            <w:pPr>
              <w:jc w:val="center"/>
              <w:rPr>
                <w:i/>
                <w:iCs/>
              </w:rPr>
            </w:pPr>
            <w:r w:rsidRPr="003E0513">
              <w:rPr>
                <w:i/>
                <w:iCs/>
              </w:rPr>
              <w:t>2017 to</w:t>
            </w:r>
          </w:p>
          <w:p w14:paraId="0B2B5F31" w14:textId="24BE1D26" w:rsidR="00722377" w:rsidRPr="003E0513" w:rsidRDefault="00722377" w:rsidP="00A5195B">
            <w:pPr>
              <w:jc w:val="center"/>
              <w:rPr>
                <w:i/>
                <w:iCs/>
              </w:rPr>
            </w:pPr>
            <w:r w:rsidRPr="003E0513">
              <w:rPr>
                <w:i/>
                <w:iCs/>
              </w:rPr>
              <w:t>2019</w:t>
            </w:r>
          </w:p>
          <w:p w14:paraId="4B53158E" w14:textId="7537D1F4" w:rsidR="00775115" w:rsidRPr="003E0513" w:rsidRDefault="00775115" w:rsidP="00A5195B">
            <w:pPr>
              <w:jc w:val="center"/>
            </w:pPr>
            <w:r w:rsidRPr="003E0513">
              <w:t>54.</w:t>
            </w:r>
            <w:r w:rsidR="00AB71CD" w:rsidRPr="003E0513">
              <w:t>7</w:t>
            </w:r>
            <w:r w:rsidRPr="003E0513">
              <w:t>%</w:t>
            </w:r>
          </w:p>
        </w:tc>
        <w:tc>
          <w:tcPr>
            <w:tcW w:w="794" w:type="dxa"/>
            <w:shd w:val="clear" w:color="auto" w:fill="auto"/>
          </w:tcPr>
          <w:p w14:paraId="4D6EB503" w14:textId="77777777" w:rsidR="00775115" w:rsidRPr="00D03B0C" w:rsidRDefault="00775115" w:rsidP="00A5195B">
            <w:pPr>
              <w:jc w:val="center"/>
            </w:pPr>
          </w:p>
        </w:tc>
        <w:tc>
          <w:tcPr>
            <w:tcW w:w="794" w:type="dxa"/>
            <w:shd w:val="clear" w:color="auto" w:fill="auto"/>
          </w:tcPr>
          <w:p w14:paraId="2B23186C" w14:textId="77777777" w:rsidR="00775115" w:rsidRPr="00D03B0C" w:rsidRDefault="00775115" w:rsidP="00A5195B">
            <w:pPr>
              <w:jc w:val="center"/>
            </w:pPr>
          </w:p>
        </w:tc>
        <w:tc>
          <w:tcPr>
            <w:tcW w:w="794" w:type="dxa"/>
            <w:shd w:val="clear" w:color="auto" w:fill="auto"/>
          </w:tcPr>
          <w:p w14:paraId="7C6CA306" w14:textId="77777777" w:rsidR="00775115" w:rsidRPr="00D03B0C" w:rsidRDefault="00775115" w:rsidP="00A5195B">
            <w:pPr>
              <w:jc w:val="center"/>
            </w:pPr>
          </w:p>
        </w:tc>
        <w:tc>
          <w:tcPr>
            <w:tcW w:w="794" w:type="dxa"/>
            <w:shd w:val="clear" w:color="auto" w:fill="auto"/>
          </w:tcPr>
          <w:p w14:paraId="6EB71B6E" w14:textId="77777777" w:rsidR="00775115" w:rsidRPr="00D03B0C" w:rsidRDefault="00775115" w:rsidP="00A5195B">
            <w:pPr>
              <w:jc w:val="center"/>
            </w:pPr>
          </w:p>
        </w:tc>
      </w:tr>
      <w:tr w:rsidR="00775115" w14:paraId="05E2D078" w14:textId="77777777" w:rsidTr="00A5195B">
        <w:tc>
          <w:tcPr>
            <w:tcW w:w="5443" w:type="dxa"/>
            <w:shd w:val="clear" w:color="auto" w:fill="auto"/>
          </w:tcPr>
          <w:p w14:paraId="1746179C" w14:textId="77777777" w:rsidR="00775115" w:rsidRPr="00D03B0C" w:rsidRDefault="00775115" w:rsidP="00A5195B">
            <w:r>
              <w:t>Percentage of students in year 3 in the top two bands compared to like schools (averaged over the last three years of the plan). Currently 12 % points below.</w:t>
            </w:r>
          </w:p>
        </w:tc>
        <w:tc>
          <w:tcPr>
            <w:tcW w:w="794" w:type="dxa"/>
            <w:shd w:val="clear" w:color="auto" w:fill="auto"/>
          </w:tcPr>
          <w:p w14:paraId="1E6B9560" w14:textId="77777777" w:rsidR="00F23F37" w:rsidRPr="003E0513" w:rsidRDefault="00F23F37" w:rsidP="00A5195B">
            <w:pPr>
              <w:jc w:val="center"/>
              <w:rPr>
                <w:i/>
                <w:iCs/>
              </w:rPr>
            </w:pPr>
            <w:r w:rsidRPr="003E0513">
              <w:rPr>
                <w:i/>
                <w:iCs/>
              </w:rPr>
              <w:t>2016 to</w:t>
            </w:r>
          </w:p>
          <w:p w14:paraId="77048300" w14:textId="0F28770B" w:rsidR="00775115" w:rsidRPr="003E0513" w:rsidRDefault="00775115" w:rsidP="00A5195B">
            <w:pPr>
              <w:jc w:val="center"/>
              <w:rPr>
                <w:i/>
                <w:iCs/>
              </w:rPr>
            </w:pPr>
            <w:r w:rsidRPr="003E0513">
              <w:rPr>
                <w:i/>
                <w:iCs/>
              </w:rPr>
              <w:t>2018</w:t>
            </w:r>
          </w:p>
          <w:p w14:paraId="03229FB6" w14:textId="05DA5423" w:rsidR="00775115" w:rsidRPr="003E0513" w:rsidRDefault="00F23F37" w:rsidP="00A5195B">
            <w:pPr>
              <w:jc w:val="center"/>
            </w:pPr>
            <w:r w:rsidRPr="003E0513">
              <w:t>49.8</w:t>
            </w:r>
            <w:r w:rsidR="00775115" w:rsidRPr="003E0513">
              <w:t>%</w:t>
            </w:r>
          </w:p>
        </w:tc>
        <w:tc>
          <w:tcPr>
            <w:tcW w:w="794" w:type="dxa"/>
            <w:shd w:val="clear" w:color="auto" w:fill="auto"/>
          </w:tcPr>
          <w:p w14:paraId="25791C23" w14:textId="77777777" w:rsidR="00AB71CD" w:rsidRPr="003E0513" w:rsidRDefault="00AB71CD" w:rsidP="00AB71CD">
            <w:pPr>
              <w:jc w:val="center"/>
              <w:rPr>
                <w:i/>
                <w:iCs/>
              </w:rPr>
            </w:pPr>
            <w:r w:rsidRPr="003E0513">
              <w:rPr>
                <w:i/>
                <w:iCs/>
              </w:rPr>
              <w:t>2017 to</w:t>
            </w:r>
          </w:p>
          <w:p w14:paraId="323920AA" w14:textId="77777777" w:rsidR="00AB71CD" w:rsidRPr="003E0513" w:rsidRDefault="00AB71CD" w:rsidP="00AB71CD">
            <w:pPr>
              <w:jc w:val="center"/>
              <w:rPr>
                <w:i/>
                <w:iCs/>
              </w:rPr>
            </w:pPr>
            <w:r w:rsidRPr="003E0513">
              <w:rPr>
                <w:i/>
                <w:iCs/>
              </w:rPr>
              <w:t>2019</w:t>
            </w:r>
          </w:p>
          <w:p w14:paraId="6255B8FF" w14:textId="2F78D912" w:rsidR="00775115" w:rsidRPr="003E0513" w:rsidRDefault="00F116B1" w:rsidP="00A5195B">
            <w:pPr>
              <w:jc w:val="center"/>
            </w:pPr>
            <w:r w:rsidRPr="003E0513">
              <w:t>52.2%</w:t>
            </w:r>
          </w:p>
        </w:tc>
        <w:tc>
          <w:tcPr>
            <w:tcW w:w="794" w:type="dxa"/>
            <w:shd w:val="clear" w:color="auto" w:fill="auto"/>
          </w:tcPr>
          <w:p w14:paraId="0DA6EB1B" w14:textId="77777777" w:rsidR="00775115" w:rsidRPr="00D03B0C" w:rsidRDefault="00775115" w:rsidP="00A5195B">
            <w:pPr>
              <w:jc w:val="center"/>
            </w:pPr>
          </w:p>
        </w:tc>
        <w:tc>
          <w:tcPr>
            <w:tcW w:w="794" w:type="dxa"/>
            <w:shd w:val="clear" w:color="auto" w:fill="auto"/>
          </w:tcPr>
          <w:p w14:paraId="57961478" w14:textId="77777777" w:rsidR="00775115" w:rsidRPr="00D03B0C" w:rsidRDefault="00775115" w:rsidP="00A5195B">
            <w:pPr>
              <w:jc w:val="center"/>
            </w:pPr>
          </w:p>
        </w:tc>
        <w:tc>
          <w:tcPr>
            <w:tcW w:w="794" w:type="dxa"/>
            <w:shd w:val="clear" w:color="auto" w:fill="auto"/>
          </w:tcPr>
          <w:p w14:paraId="339C1922" w14:textId="77777777" w:rsidR="00775115" w:rsidRPr="00D03B0C" w:rsidRDefault="00775115" w:rsidP="00A5195B">
            <w:pPr>
              <w:jc w:val="center"/>
            </w:pPr>
          </w:p>
        </w:tc>
        <w:tc>
          <w:tcPr>
            <w:tcW w:w="794" w:type="dxa"/>
            <w:shd w:val="clear" w:color="auto" w:fill="auto"/>
          </w:tcPr>
          <w:p w14:paraId="067D0984" w14:textId="77777777" w:rsidR="00775115" w:rsidRPr="00D03B0C" w:rsidRDefault="00775115" w:rsidP="00A5195B">
            <w:pPr>
              <w:jc w:val="center"/>
            </w:pPr>
          </w:p>
        </w:tc>
      </w:tr>
      <w:tr w:rsidR="00775115" w14:paraId="0815DD0E" w14:textId="77777777" w:rsidTr="00A5195B">
        <w:tc>
          <w:tcPr>
            <w:tcW w:w="5443" w:type="dxa"/>
            <w:shd w:val="clear" w:color="auto" w:fill="auto"/>
          </w:tcPr>
          <w:p w14:paraId="696431F4" w14:textId="77777777" w:rsidR="00775115" w:rsidRDefault="00775115" w:rsidP="00A5195B">
            <w:r>
              <w:t>Percentage of students in year 5 in the top two bands compared to like schools (averaged over the last three years of the plan). Currently 12 % points below.</w:t>
            </w:r>
          </w:p>
        </w:tc>
        <w:tc>
          <w:tcPr>
            <w:tcW w:w="794" w:type="dxa"/>
            <w:shd w:val="clear" w:color="auto" w:fill="auto"/>
          </w:tcPr>
          <w:p w14:paraId="440E4176" w14:textId="77777777" w:rsidR="00F23F37" w:rsidRPr="003E0513" w:rsidRDefault="00F23F37" w:rsidP="00A5195B">
            <w:pPr>
              <w:jc w:val="center"/>
              <w:rPr>
                <w:i/>
                <w:iCs/>
              </w:rPr>
            </w:pPr>
            <w:r w:rsidRPr="003E0513">
              <w:rPr>
                <w:i/>
                <w:iCs/>
              </w:rPr>
              <w:t>2016 to</w:t>
            </w:r>
          </w:p>
          <w:p w14:paraId="43DD5DD8" w14:textId="3E650219" w:rsidR="00775115" w:rsidRPr="003E0513" w:rsidRDefault="00775115" w:rsidP="00A5195B">
            <w:pPr>
              <w:jc w:val="center"/>
              <w:rPr>
                <w:i/>
                <w:iCs/>
              </w:rPr>
            </w:pPr>
            <w:r w:rsidRPr="003E0513">
              <w:rPr>
                <w:i/>
                <w:iCs/>
              </w:rPr>
              <w:t>2018</w:t>
            </w:r>
          </w:p>
          <w:p w14:paraId="4913B378" w14:textId="38211980" w:rsidR="00775115" w:rsidRPr="003E0513" w:rsidRDefault="00F116B1" w:rsidP="00775115">
            <w:pPr>
              <w:jc w:val="center"/>
            </w:pPr>
            <w:r w:rsidRPr="003E0513">
              <w:t>36</w:t>
            </w:r>
            <w:r w:rsidR="00775115" w:rsidRPr="003E0513">
              <w:t>.4%</w:t>
            </w:r>
          </w:p>
        </w:tc>
        <w:tc>
          <w:tcPr>
            <w:tcW w:w="794" w:type="dxa"/>
            <w:shd w:val="clear" w:color="auto" w:fill="auto"/>
          </w:tcPr>
          <w:p w14:paraId="4C795A4B" w14:textId="77777777" w:rsidR="00F116B1" w:rsidRPr="003E0513" w:rsidRDefault="00F116B1" w:rsidP="00A5195B">
            <w:pPr>
              <w:jc w:val="center"/>
              <w:rPr>
                <w:i/>
                <w:iCs/>
              </w:rPr>
            </w:pPr>
            <w:r w:rsidRPr="003E0513">
              <w:rPr>
                <w:i/>
                <w:iCs/>
              </w:rPr>
              <w:t>2017 to 2019</w:t>
            </w:r>
          </w:p>
          <w:p w14:paraId="13D8D0D2" w14:textId="250D236F" w:rsidR="00775115" w:rsidRPr="003E0513" w:rsidRDefault="003E0513" w:rsidP="00A5195B">
            <w:pPr>
              <w:jc w:val="center"/>
            </w:pPr>
            <w:r w:rsidRPr="003E0513">
              <w:t>39.0</w:t>
            </w:r>
            <w:r w:rsidR="00775115" w:rsidRPr="003E0513">
              <w:t>%</w:t>
            </w:r>
          </w:p>
        </w:tc>
        <w:tc>
          <w:tcPr>
            <w:tcW w:w="794" w:type="dxa"/>
            <w:shd w:val="clear" w:color="auto" w:fill="auto"/>
          </w:tcPr>
          <w:p w14:paraId="7FCFD40A" w14:textId="77777777" w:rsidR="00775115" w:rsidRPr="00D03B0C" w:rsidRDefault="00775115" w:rsidP="00A5195B">
            <w:pPr>
              <w:jc w:val="center"/>
            </w:pPr>
          </w:p>
        </w:tc>
        <w:tc>
          <w:tcPr>
            <w:tcW w:w="794" w:type="dxa"/>
            <w:shd w:val="clear" w:color="auto" w:fill="auto"/>
          </w:tcPr>
          <w:p w14:paraId="630675F9" w14:textId="77777777" w:rsidR="00775115" w:rsidRPr="00D03B0C" w:rsidRDefault="00775115" w:rsidP="00A5195B">
            <w:pPr>
              <w:jc w:val="center"/>
            </w:pPr>
          </w:p>
        </w:tc>
        <w:tc>
          <w:tcPr>
            <w:tcW w:w="794" w:type="dxa"/>
            <w:shd w:val="clear" w:color="auto" w:fill="auto"/>
          </w:tcPr>
          <w:p w14:paraId="09E8B27E" w14:textId="77777777" w:rsidR="00775115" w:rsidRPr="00D03B0C" w:rsidRDefault="00775115" w:rsidP="00A5195B">
            <w:pPr>
              <w:jc w:val="center"/>
            </w:pPr>
          </w:p>
        </w:tc>
        <w:tc>
          <w:tcPr>
            <w:tcW w:w="794" w:type="dxa"/>
            <w:shd w:val="clear" w:color="auto" w:fill="auto"/>
          </w:tcPr>
          <w:p w14:paraId="3F1447DE" w14:textId="77777777" w:rsidR="00775115" w:rsidRPr="00D03B0C" w:rsidRDefault="00775115" w:rsidP="00A5195B">
            <w:pPr>
              <w:jc w:val="center"/>
            </w:pPr>
          </w:p>
        </w:tc>
      </w:tr>
    </w:tbl>
    <w:p w14:paraId="497F20CD" w14:textId="7D5AC7A9" w:rsidR="00A5195B" w:rsidRDefault="00A5195B" w:rsidP="00EB70CE">
      <w:pPr>
        <w:pStyle w:val="Heading4"/>
      </w:pPr>
    </w:p>
    <w:p w14:paraId="1EAA9CF3" w14:textId="77777777" w:rsidR="00A5195B" w:rsidRDefault="00A5195B">
      <w:pPr>
        <w:rPr>
          <w:rFonts w:asciiTheme="majorHAnsi" w:eastAsiaTheme="majorEastAsia" w:hAnsiTheme="majorHAnsi" w:cstheme="majorBidi"/>
          <w:i/>
          <w:iCs/>
          <w:color w:val="1F4E79"/>
        </w:rPr>
      </w:pPr>
      <w:r>
        <w:br w:type="page"/>
      </w:r>
    </w:p>
    <w:p w14:paraId="3D97A326" w14:textId="77777777" w:rsidR="00775115" w:rsidRDefault="00775115" w:rsidP="00EB70CE">
      <w:pPr>
        <w:pStyle w:val="Heading4"/>
      </w:pPr>
    </w:p>
    <w:tbl>
      <w:tblPr>
        <w:tblStyle w:val="TableGrid"/>
        <w:tblW w:w="10343" w:type="dxa"/>
        <w:tblLook w:val="04A0" w:firstRow="1" w:lastRow="0" w:firstColumn="1" w:lastColumn="0" w:noHBand="0" w:noVBand="1"/>
      </w:tblPr>
      <w:tblGrid>
        <w:gridCol w:w="2038"/>
        <w:gridCol w:w="2076"/>
        <w:gridCol w:w="2076"/>
        <w:gridCol w:w="2076"/>
        <w:gridCol w:w="2077"/>
      </w:tblGrid>
      <w:tr w:rsidR="00A5195B" w14:paraId="2DBC6F84" w14:textId="77777777" w:rsidTr="002F58E0">
        <w:tc>
          <w:tcPr>
            <w:tcW w:w="2038" w:type="dxa"/>
          </w:tcPr>
          <w:p w14:paraId="7569F112" w14:textId="58F16E8E" w:rsidR="00A5195B" w:rsidRPr="00AB2794" w:rsidRDefault="00A5195B" w:rsidP="00AB2794">
            <w:pPr>
              <w:jc w:val="center"/>
              <w:rPr>
                <w:b/>
                <w:bCs/>
              </w:rPr>
            </w:pPr>
            <w:r w:rsidRPr="00AB2794">
              <w:rPr>
                <w:b/>
                <w:bCs/>
              </w:rPr>
              <w:t>Target or Measures</w:t>
            </w:r>
          </w:p>
        </w:tc>
        <w:tc>
          <w:tcPr>
            <w:tcW w:w="2076" w:type="dxa"/>
          </w:tcPr>
          <w:p w14:paraId="7C5223DD" w14:textId="4E3FF05B" w:rsidR="00A5195B" w:rsidRPr="00AB2794" w:rsidRDefault="00AB2794" w:rsidP="00AB2794">
            <w:pPr>
              <w:jc w:val="center"/>
              <w:rPr>
                <w:b/>
                <w:bCs/>
              </w:rPr>
            </w:pPr>
            <w:r>
              <w:rPr>
                <w:b/>
                <w:bCs/>
              </w:rPr>
              <w:t>Base – established in 2019</w:t>
            </w:r>
          </w:p>
        </w:tc>
        <w:tc>
          <w:tcPr>
            <w:tcW w:w="2076" w:type="dxa"/>
          </w:tcPr>
          <w:p w14:paraId="7636DDE0" w14:textId="77777777" w:rsidR="00A5195B" w:rsidRPr="00AB2794" w:rsidRDefault="00A5195B" w:rsidP="00AB2794">
            <w:pPr>
              <w:jc w:val="center"/>
              <w:rPr>
                <w:b/>
                <w:bCs/>
              </w:rPr>
            </w:pPr>
          </w:p>
        </w:tc>
        <w:tc>
          <w:tcPr>
            <w:tcW w:w="2076" w:type="dxa"/>
          </w:tcPr>
          <w:p w14:paraId="31EADFAC" w14:textId="77777777" w:rsidR="00A5195B" w:rsidRPr="00AB2794" w:rsidRDefault="00A5195B" w:rsidP="00AB2794">
            <w:pPr>
              <w:jc w:val="center"/>
              <w:rPr>
                <w:b/>
                <w:bCs/>
              </w:rPr>
            </w:pPr>
          </w:p>
        </w:tc>
        <w:tc>
          <w:tcPr>
            <w:tcW w:w="2077" w:type="dxa"/>
          </w:tcPr>
          <w:p w14:paraId="1A93A8B9" w14:textId="77777777" w:rsidR="00A5195B" w:rsidRPr="00AB2794" w:rsidRDefault="00A5195B" w:rsidP="00AB2794">
            <w:pPr>
              <w:jc w:val="center"/>
              <w:rPr>
                <w:b/>
                <w:bCs/>
              </w:rPr>
            </w:pPr>
          </w:p>
        </w:tc>
      </w:tr>
      <w:tr w:rsidR="00A5195B" w14:paraId="2861926C" w14:textId="77777777" w:rsidTr="002F58E0">
        <w:tc>
          <w:tcPr>
            <w:tcW w:w="2038" w:type="dxa"/>
          </w:tcPr>
          <w:p w14:paraId="310ED82C" w14:textId="5666C295" w:rsidR="00A5195B" w:rsidRDefault="00A5195B" w:rsidP="00A5195B">
            <w:r>
              <w:t xml:space="preserve">Students working at </w:t>
            </w:r>
            <w:r w:rsidR="00AB2794">
              <w:t>2 or more standard deviations below th</w:t>
            </w:r>
            <w:r>
              <w:t>e median score on PAT Maths</w:t>
            </w:r>
            <w:r w:rsidR="00000789">
              <w:t>.</w:t>
            </w:r>
          </w:p>
        </w:tc>
        <w:tc>
          <w:tcPr>
            <w:tcW w:w="2076" w:type="dxa"/>
          </w:tcPr>
          <w:p w14:paraId="1408DCB2" w14:textId="77777777" w:rsidR="00A5195B" w:rsidRDefault="00AB2794" w:rsidP="00CE397E">
            <w:pPr>
              <w:jc w:val="center"/>
            </w:pPr>
            <w:r>
              <w:t xml:space="preserve">Year 3 – </w:t>
            </w:r>
            <w:r w:rsidR="00F63F00">
              <w:t>2.5</w:t>
            </w:r>
            <w:r>
              <w:t>%</w:t>
            </w:r>
          </w:p>
          <w:p w14:paraId="66821DFE" w14:textId="77777777" w:rsidR="002B3B6B" w:rsidRDefault="002B3B6B" w:rsidP="00CE397E">
            <w:pPr>
              <w:jc w:val="center"/>
            </w:pPr>
            <w:r>
              <w:t>Year 4 – 1.</w:t>
            </w:r>
            <w:r w:rsidR="00CE5131">
              <w:t>6</w:t>
            </w:r>
            <w:r>
              <w:t>%</w:t>
            </w:r>
          </w:p>
          <w:p w14:paraId="4C344A33" w14:textId="77777777" w:rsidR="00CC484A" w:rsidRDefault="00CC484A" w:rsidP="00CE397E">
            <w:pPr>
              <w:jc w:val="center"/>
            </w:pPr>
            <w:r>
              <w:t>Year 5 – 5.4%</w:t>
            </w:r>
          </w:p>
          <w:p w14:paraId="2187D2D3" w14:textId="5AC50FC6" w:rsidR="00CE397E" w:rsidRDefault="00CE397E" w:rsidP="00CE397E">
            <w:pPr>
              <w:jc w:val="center"/>
            </w:pPr>
            <w:r>
              <w:t>Year 6 – 1.6%</w:t>
            </w:r>
          </w:p>
        </w:tc>
        <w:tc>
          <w:tcPr>
            <w:tcW w:w="2076" w:type="dxa"/>
          </w:tcPr>
          <w:p w14:paraId="72AF9D06" w14:textId="77777777" w:rsidR="00A5195B" w:rsidRDefault="00A5195B" w:rsidP="00CE397E">
            <w:pPr>
              <w:jc w:val="center"/>
            </w:pPr>
          </w:p>
        </w:tc>
        <w:tc>
          <w:tcPr>
            <w:tcW w:w="2076" w:type="dxa"/>
          </w:tcPr>
          <w:p w14:paraId="5627EE1B" w14:textId="77777777" w:rsidR="00A5195B" w:rsidRDefault="00A5195B" w:rsidP="00CE397E">
            <w:pPr>
              <w:jc w:val="center"/>
            </w:pPr>
          </w:p>
        </w:tc>
        <w:tc>
          <w:tcPr>
            <w:tcW w:w="2077" w:type="dxa"/>
          </w:tcPr>
          <w:p w14:paraId="54E6769F" w14:textId="77777777" w:rsidR="00A5195B" w:rsidRDefault="00A5195B" w:rsidP="00CE397E">
            <w:pPr>
              <w:jc w:val="center"/>
            </w:pPr>
          </w:p>
        </w:tc>
      </w:tr>
      <w:tr w:rsidR="00A5195B" w14:paraId="70DAD9C0" w14:textId="77777777" w:rsidTr="002F58E0">
        <w:tc>
          <w:tcPr>
            <w:tcW w:w="2038" w:type="dxa"/>
          </w:tcPr>
          <w:p w14:paraId="46B11574" w14:textId="3F43B4DB" w:rsidR="00A5195B" w:rsidRDefault="00A5195B" w:rsidP="00A5195B">
            <w:r>
              <w:t xml:space="preserve">Students working at </w:t>
            </w:r>
            <w:r w:rsidR="00AB2794">
              <w:t xml:space="preserve">1 </w:t>
            </w:r>
            <w:r>
              <w:t>standard deviation below the median score on PAT Maths</w:t>
            </w:r>
            <w:r w:rsidR="00000789">
              <w:t>.</w:t>
            </w:r>
          </w:p>
        </w:tc>
        <w:tc>
          <w:tcPr>
            <w:tcW w:w="2076" w:type="dxa"/>
          </w:tcPr>
          <w:p w14:paraId="6B4D23B6" w14:textId="77777777" w:rsidR="00A5195B" w:rsidRDefault="00F63F00" w:rsidP="00CE397E">
            <w:pPr>
              <w:jc w:val="center"/>
            </w:pPr>
            <w:r>
              <w:t>Year 3 – 12.7%</w:t>
            </w:r>
          </w:p>
          <w:p w14:paraId="35DD67A5" w14:textId="77777777" w:rsidR="002B3B6B" w:rsidRDefault="002B3B6B" w:rsidP="00CE397E">
            <w:pPr>
              <w:jc w:val="center"/>
            </w:pPr>
            <w:r>
              <w:t xml:space="preserve">Year 4 – </w:t>
            </w:r>
            <w:r w:rsidR="00CE5131">
              <w:t>3.3</w:t>
            </w:r>
            <w:r>
              <w:t>%</w:t>
            </w:r>
          </w:p>
          <w:p w14:paraId="36A19AFE" w14:textId="77777777" w:rsidR="00CC484A" w:rsidRDefault="00CC484A" w:rsidP="00CE397E">
            <w:pPr>
              <w:jc w:val="center"/>
            </w:pPr>
            <w:r>
              <w:t xml:space="preserve">Year 5 </w:t>
            </w:r>
            <w:r w:rsidR="00CE397E">
              <w:t>–</w:t>
            </w:r>
            <w:r>
              <w:t xml:space="preserve"> </w:t>
            </w:r>
            <w:r w:rsidR="00CE397E">
              <w:t>9.5%</w:t>
            </w:r>
          </w:p>
          <w:p w14:paraId="1290E7C6" w14:textId="7EA98CEB" w:rsidR="00CE397E" w:rsidRDefault="00CE397E" w:rsidP="00CE397E">
            <w:pPr>
              <w:jc w:val="center"/>
            </w:pPr>
            <w:r>
              <w:t>Year 6 – 9.5%</w:t>
            </w:r>
          </w:p>
        </w:tc>
        <w:tc>
          <w:tcPr>
            <w:tcW w:w="2076" w:type="dxa"/>
          </w:tcPr>
          <w:p w14:paraId="5C18483B" w14:textId="77777777" w:rsidR="00A5195B" w:rsidRDefault="00A5195B" w:rsidP="00CE397E">
            <w:pPr>
              <w:jc w:val="center"/>
            </w:pPr>
          </w:p>
        </w:tc>
        <w:tc>
          <w:tcPr>
            <w:tcW w:w="2076" w:type="dxa"/>
          </w:tcPr>
          <w:p w14:paraId="2A97ED35" w14:textId="77777777" w:rsidR="00A5195B" w:rsidRDefault="00A5195B" w:rsidP="00CE397E">
            <w:pPr>
              <w:jc w:val="center"/>
            </w:pPr>
          </w:p>
        </w:tc>
        <w:tc>
          <w:tcPr>
            <w:tcW w:w="2077" w:type="dxa"/>
          </w:tcPr>
          <w:p w14:paraId="2173C1B4" w14:textId="77777777" w:rsidR="00A5195B" w:rsidRDefault="00A5195B" w:rsidP="00CE397E">
            <w:pPr>
              <w:jc w:val="center"/>
            </w:pPr>
          </w:p>
        </w:tc>
      </w:tr>
      <w:tr w:rsidR="00AB2794" w14:paraId="16536319" w14:textId="77777777" w:rsidTr="002F58E0">
        <w:tc>
          <w:tcPr>
            <w:tcW w:w="2038" w:type="dxa"/>
          </w:tcPr>
          <w:p w14:paraId="701FDDA7" w14:textId="237E1086" w:rsidR="00AB2794" w:rsidRDefault="00AB2794" w:rsidP="00A5195B">
            <w:r>
              <w:t>Students working at the expected level on PAT Maths</w:t>
            </w:r>
            <w:r w:rsidR="00000789">
              <w:t>.</w:t>
            </w:r>
          </w:p>
        </w:tc>
        <w:tc>
          <w:tcPr>
            <w:tcW w:w="2076" w:type="dxa"/>
          </w:tcPr>
          <w:p w14:paraId="184B532F" w14:textId="77777777" w:rsidR="00AB2794" w:rsidRDefault="00D35082" w:rsidP="00CE397E">
            <w:pPr>
              <w:jc w:val="center"/>
            </w:pPr>
            <w:r>
              <w:t xml:space="preserve">Year 3 – </w:t>
            </w:r>
            <w:r w:rsidR="002B3B6B">
              <w:t>58.2</w:t>
            </w:r>
            <w:r>
              <w:t>%</w:t>
            </w:r>
          </w:p>
          <w:p w14:paraId="1C8E8CB5" w14:textId="77777777" w:rsidR="002B3B6B" w:rsidRDefault="002B3B6B" w:rsidP="00CE397E">
            <w:pPr>
              <w:jc w:val="center"/>
            </w:pPr>
            <w:r>
              <w:t xml:space="preserve">Year 4 – </w:t>
            </w:r>
            <w:r w:rsidR="00CC484A">
              <w:t>72.1</w:t>
            </w:r>
            <w:r>
              <w:t>%</w:t>
            </w:r>
          </w:p>
          <w:p w14:paraId="138FBBCB" w14:textId="77777777" w:rsidR="00CE397E" w:rsidRDefault="00CE397E" w:rsidP="00CE397E">
            <w:pPr>
              <w:jc w:val="center"/>
            </w:pPr>
            <w:r>
              <w:t>Year 5 – 55.4%</w:t>
            </w:r>
          </w:p>
          <w:p w14:paraId="11873859" w14:textId="6EED2549" w:rsidR="00CE397E" w:rsidRDefault="00CE397E" w:rsidP="00CE397E">
            <w:pPr>
              <w:jc w:val="center"/>
            </w:pPr>
            <w:r>
              <w:t>Year 6 – 47.6%</w:t>
            </w:r>
          </w:p>
        </w:tc>
        <w:tc>
          <w:tcPr>
            <w:tcW w:w="2076" w:type="dxa"/>
          </w:tcPr>
          <w:p w14:paraId="0B89585F" w14:textId="77777777" w:rsidR="00AB2794" w:rsidRDefault="00AB2794" w:rsidP="00CE397E">
            <w:pPr>
              <w:jc w:val="center"/>
            </w:pPr>
          </w:p>
        </w:tc>
        <w:tc>
          <w:tcPr>
            <w:tcW w:w="2076" w:type="dxa"/>
          </w:tcPr>
          <w:p w14:paraId="2F0FE42B" w14:textId="77777777" w:rsidR="00AB2794" w:rsidRDefault="00AB2794" w:rsidP="00CE397E">
            <w:pPr>
              <w:jc w:val="center"/>
            </w:pPr>
          </w:p>
        </w:tc>
        <w:tc>
          <w:tcPr>
            <w:tcW w:w="2077" w:type="dxa"/>
          </w:tcPr>
          <w:p w14:paraId="0FB10D2E" w14:textId="77777777" w:rsidR="00AB2794" w:rsidRDefault="00AB2794" w:rsidP="00CE397E">
            <w:pPr>
              <w:jc w:val="center"/>
            </w:pPr>
          </w:p>
        </w:tc>
      </w:tr>
      <w:tr w:rsidR="00AB2794" w14:paraId="0CCB9C2F" w14:textId="77777777" w:rsidTr="002F58E0">
        <w:tc>
          <w:tcPr>
            <w:tcW w:w="2038" w:type="dxa"/>
          </w:tcPr>
          <w:p w14:paraId="3EE44E8F" w14:textId="364CABCA" w:rsidR="00AB2794" w:rsidRDefault="00AB2794" w:rsidP="00A5195B">
            <w:r>
              <w:t>Students working at 1 standard deviations above the median score on PAT Maths</w:t>
            </w:r>
            <w:r w:rsidR="00000789">
              <w:t>.</w:t>
            </w:r>
          </w:p>
        </w:tc>
        <w:tc>
          <w:tcPr>
            <w:tcW w:w="2076" w:type="dxa"/>
          </w:tcPr>
          <w:p w14:paraId="0770E7A6" w14:textId="77777777" w:rsidR="00AB2794" w:rsidRDefault="00D35082" w:rsidP="00CE397E">
            <w:pPr>
              <w:jc w:val="center"/>
            </w:pPr>
            <w:r>
              <w:t>Year 3 – 12.7%</w:t>
            </w:r>
          </w:p>
          <w:p w14:paraId="237FFCEB" w14:textId="77777777" w:rsidR="002B3B6B" w:rsidRDefault="002B3B6B" w:rsidP="00CE397E">
            <w:pPr>
              <w:jc w:val="center"/>
            </w:pPr>
            <w:r>
              <w:t xml:space="preserve">Year 4 – </w:t>
            </w:r>
            <w:r w:rsidR="00CE5131">
              <w:t>9.8</w:t>
            </w:r>
            <w:r>
              <w:t>%</w:t>
            </w:r>
          </w:p>
          <w:p w14:paraId="36ADA730" w14:textId="77777777" w:rsidR="00CE397E" w:rsidRDefault="00CE397E" w:rsidP="00CE397E">
            <w:pPr>
              <w:jc w:val="center"/>
            </w:pPr>
            <w:r>
              <w:t>Year 5 – 13.5%</w:t>
            </w:r>
          </w:p>
          <w:p w14:paraId="57A68F5D" w14:textId="5053D1A1" w:rsidR="00CE397E" w:rsidRDefault="00CE397E" w:rsidP="00CE397E">
            <w:pPr>
              <w:jc w:val="center"/>
            </w:pPr>
            <w:r>
              <w:t>Year 6 – 25.4%</w:t>
            </w:r>
          </w:p>
        </w:tc>
        <w:tc>
          <w:tcPr>
            <w:tcW w:w="2076" w:type="dxa"/>
          </w:tcPr>
          <w:p w14:paraId="2BD6C8FD" w14:textId="77777777" w:rsidR="00AB2794" w:rsidRDefault="00AB2794" w:rsidP="00CE397E">
            <w:pPr>
              <w:jc w:val="center"/>
            </w:pPr>
          </w:p>
        </w:tc>
        <w:tc>
          <w:tcPr>
            <w:tcW w:w="2076" w:type="dxa"/>
          </w:tcPr>
          <w:p w14:paraId="69E96275" w14:textId="77777777" w:rsidR="00AB2794" w:rsidRDefault="00AB2794" w:rsidP="00CE397E">
            <w:pPr>
              <w:jc w:val="center"/>
            </w:pPr>
          </w:p>
        </w:tc>
        <w:tc>
          <w:tcPr>
            <w:tcW w:w="2077" w:type="dxa"/>
          </w:tcPr>
          <w:p w14:paraId="39730675" w14:textId="77777777" w:rsidR="00AB2794" w:rsidRDefault="00AB2794" w:rsidP="00CE397E">
            <w:pPr>
              <w:jc w:val="center"/>
            </w:pPr>
          </w:p>
        </w:tc>
      </w:tr>
      <w:tr w:rsidR="00AB2794" w14:paraId="79B3CA1D" w14:textId="77777777" w:rsidTr="002F58E0">
        <w:tc>
          <w:tcPr>
            <w:tcW w:w="2038" w:type="dxa"/>
          </w:tcPr>
          <w:p w14:paraId="623C5AD9" w14:textId="36672652" w:rsidR="00AB2794" w:rsidRDefault="00AB2794" w:rsidP="00A5195B">
            <w:r>
              <w:t>Students working at 2 or more standard deviations above the median score on PAT Maths</w:t>
            </w:r>
            <w:r w:rsidR="00000789">
              <w:t>.</w:t>
            </w:r>
          </w:p>
        </w:tc>
        <w:tc>
          <w:tcPr>
            <w:tcW w:w="2076" w:type="dxa"/>
          </w:tcPr>
          <w:p w14:paraId="32A440E7" w14:textId="77777777" w:rsidR="00AB2794" w:rsidRDefault="00D35082" w:rsidP="00CE397E">
            <w:pPr>
              <w:jc w:val="center"/>
            </w:pPr>
            <w:r>
              <w:t>Year 3 – 13.9%</w:t>
            </w:r>
          </w:p>
          <w:p w14:paraId="344AA658" w14:textId="77777777" w:rsidR="002B3B6B" w:rsidRDefault="002B3B6B" w:rsidP="00CE397E">
            <w:pPr>
              <w:jc w:val="center"/>
            </w:pPr>
            <w:r>
              <w:t>Year 4 – 1</w:t>
            </w:r>
            <w:r w:rsidR="00CE5131">
              <w:t>3.1</w:t>
            </w:r>
            <w:r>
              <w:t>%</w:t>
            </w:r>
          </w:p>
          <w:p w14:paraId="55E01D46" w14:textId="77777777" w:rsidR="00CE397E" w:rsidRDefault="00CE397E" w:rsidP="00CE397E">
            <w:pPr>
              <w:jc w:val="center"/>
            </w:pPr>
            <w:r>
              <w:t>Year 5 – 16.2%</w:t>
            </w:r>
          </w:p>
          <w:p w14:paraId="407616F7" w14:textId="424A400E" w:rsidR="00CE397E" w:rsidRDefault="00CE397E" w:rsidP="00CE397E">
            <w:pPr>
              <w:jc w:val="center"/>
            </w:pPr>
            <w:r>
              <w:t>Year 6 – 15.9%</w:t>
            </w:r>
          </w:p>
        </w:tc>
        <w:tc>
          <w:tcPr>
            <w:tcW w:w="2076" w:type="dxa"/>
          </w:tcPr>
          <w:p w14:paraId="0D5BDD4C" w14:textId="77777777" w:rsidR="00AB2794" w:rsidRDefault="00AB2794" w:rsidP="00CE397E">
            <w:pPr>
              <w:jc w:val="center"/>
            </w:pPr>
          </w:p>
        </w:tc>
        <w:tc>
          <w:tcPr>
            <w:tcW w:w="2076" w:type="dxa"/>
          </w:tcPr>
          <w:p w14:paraId="18455EBD" w14:textId="77777777" w:rsidR="00AB2794" w:rsidRDefault="00AB2794" w:rsidP="00CE397E">
            <w:pPr>
              <w:jc w:val="center"/>
            </w:pPr>
          </w:p>
        </w:tc>
        <w:tc>
          <w:tcPr>
            <w:tcW w:w="2077" w:type="dxa"/>
          </w:tcPr>
          <w:p w14:paraId="38503FFE" w14:textId="77777777" w:rsidR="00AB2794" w:rsidRDefault="00AB2794" w:rsidP="00CE397E">
            <w:pPr>
              <w:jc w:val="center"/>
            </w:pPr>
          </w:p>
        </w:tc>
      </w:tr>
    </w:tbl>
    <w:p w14:paraId="6CA85AE5" w14:textId="11B3E1D4" w:rsidR="00A5195B" w:rsidRDefault="00A5195B" w:rsidP="00A5195B"/>
    <w:tbl>
      <w:tblPr>
        <w:tblStyle w:val="TableGrid"/>
        <w:tblW w:w="10343" w:type="dxa"/>
        <w:tblLayout w:type="fixed"/>
        <w:tblLook w:val="04A0" w:firstRow="1" w:lastRow="0" w:firstColumn="1" w:lastColumn="0" w:noHBand="0" w:noVBand="1"/>
      </w:tblPr>
      <w:tblGrid>
        <w:gridCol w:w="5422"/>
        <w:gridCol w:w="1230"/>
        <w:gridCol w:w="1230"/>
        <w:gridCol w:w="1230"/>
        <w:gridCol w:w="1231"/>
      </w:tblGrid>
      <w:tr w:rsidR="00EA3949" w:rsidRPr="004F478B" w14:paraId="629BB6CD" w14:textId="77777777" w:rsidTr="002F58E0">
        <w:tc>
          <w:tcPr>
            <w:tcW w:w="5422" w:type="dxa"/>
          </w:tcPr>
          <w:p w14:paraId="22197A51" w14:textId="77777777" w:rsidR="00EA3949" w:rsidRPr="004F478B" w:rsidRDefault="00EA3949" w:rsidP="00A5195B">
            <w:pPr>
              <w:rPr>
                <w:b/>
                <w:bCs/>
              </w:rPr>
            </w:pPr>
            <w:r w:rsidRPr="004F478B">
              <w:rPr>
                <w:b/>
                <w:bCs/>
              </w:rPr>
              <w:t>Target or Measures</w:t>
            </w:r>
          </w:p>
        </w:tc>
        <w:tc>
          <w:tcPr>
            <w:tcW w:w="1230" w:type="dxa"/>
          </w:tcPr>
          <w:p w14:paraId="467628E7" w14:textId="77777777" w:rsidR="00EA3949" w:rsidRPr="004F478B" w:rsidRDefault="00EA3949" w:rsidP="00A5195B">
            <w:pPr>
              <w:jc w:val="center"/>
              <w:rPr>
                <w:b/>
                <w:bCs/>
              </w:rPr>
            </w:pPr>
            <w:r w:rsidRPr="004F478B">
              <w:rPr>
                <w:b/>
                <w:bCs/>
              </w:rPr>
              <w:t>Base</w:t>
            </w:r>
          </w:p>
        </w:tc>
        <w:tc>
          <w:tcPr>
            <w:tcW w:w="1230" w:type="dxa"/>
          </w:tcPr>
          <w:p w14:paraId="3E0BF797" w14:textId="77777777" w:rsidR="00EA3949" w:rsidRDefault="00EA3949" w:rsidP="00A5195B">
            <w:pPr>
              <w:jc w:val="center"/>
              <w:rPr>
                <w:b/>
                <w:bCs/>
              </w:rPr>
            </w:pPr>
            <w:r w:rsidRPr="004F478B">
              <w:rPr>
                <w:b/>
                <w:bCs/>
              </w:rPr>
              <w:t>Year 1</w:t>
            </w:r>
          </w:p>
          <w:p w14:paraId="6C26353E" w14:textId="77777777" w:rsidR="00EA3949" w:rsidRPr="004F478B" w:rsidRDefault="00EA3949" w:rsidP="00A5195B">
            <w:pPr>
              <w:jc w:val="center"/>
              <w:rPr>
                <w:b/>
                <w:bCs/>
              </w:rPr>
            </w:pPr>
            <w:r w:rsidRPr="004F478B">
              <w:rPr>
                <w:b/>
                <w:bCs/>
              </w:rPr>
              <w:t>2021</w:t>
            </w:r>
          </w:p>
        </w:tc>
        <w:tc>
          <w:tcPr>
            <w:tcW w:w="1230" w:type="dxa"/>
          </w:tcPr>
          <w:p w14:paraId="10D5801D" w14:textId="77777777" w:rsidR="00EA3949" w:rsidRDefault="00EA3949" w:rsidP="00A5195B">
            <w:pPr>
              <w:jc w:val="center"/>
              <w:rPr>
                <w:b/>
                <w:bCs/>
              </w:rPr>
            </w:pPr>
            <w:r w:rsidRPr="004F478B">
              <w:rPr>
                <w:b/>
                <w:bCs/>
              </w:rPr>
              <w:t>Year 2</w:t>
            </w:r>
          </w:p>
          <w:p w14:paraId="69A0A449" w14:textId="77777777" w:rsidR="00EA3949" w:rsidRPr="004F478B" w:rsidRDefault="00EA3949" w:rsidP="00A5195B">
            <w:pPr>
              <w:jc w:val="center"/>
              <w:rPr>
                <w:b/>
                <w:bCs/>
              </w:rPr>
            </w:pPr>
            <w:r w:rsidRPr="004F478B">
              <w:rPr>
                <w:b/>
                <w:bCs/>
              </w:rPr>
              <w:t>2022</w:t>
            </w:r>
          </w:p>
        </w:tc>
        <w:tc>
          <w:tcPr>
            <w:tcW w:w="1231" w:type="dxa"/>
          </w:tcPr>
          <w:p w14:paraId="52CB76DC" w14:textId="77777777" w:rsidR="00EA3949" w:rsidRPr="004F478B" w:rsidRDefault="00EA3949" w:rsidP="00A5195B">
            <w:pPr>
              <w:jc w:val="center"/>
              <w:rPr>
                <w:b/>
                <w:bCs/>
              </w:rPr>
            </w:pPr>
            <w:r w:rsidRPr="004F478B">
              <w:rPr>
                <w:b/>
                <w:bCs/>
              </w:rPr>
              <w:t>Year 3 2023</w:t>
            </w:r>
          </w:p>
        </w:tc>
      </w:tr>
      <w:tr w:rsidR="00EA3949" w14:paraId="31C330CF" w14:textId="77777777" w:rsidTr="002F58E0">
        <w:tc>
          <w:tcPr>
            <w:tcW w:w="5422" w:type="dxa"/>
          </w:tcPr>
          <w:p w14:paraId="0AC0D15C" w14:textId="305A7D1B" w:rsidR="00EA3949" w:rsidRDefault="00EA3949" w:rsidP="00A5195B">
            <w:r>
              <w:t>A to E data correlated with PAT Maths and NAPLAN</w:t>
            </w:r>
          </w:p>
        </w:tc>
        <w:tc>
          <w:tcPr>
            <w:tcW w:w="1230" w:type="dxa"/>
          </w:tcPr>
          <w:p w14:paraId="222C65B4" w14:textId="77777777" w:rsidR="00EA3949" w:rsidRPr="00317EB0" w:rsidRDefault="00EA3949" w:rsidP="00A5195B">
            <w:pPr>
              <w:jc w:val="center"/>
              <w:rPr>
                <w:sz w:val="20"/>
                <w:szCs w:val="20"/>
              </w:rPr>
            </w:pPr>
            <w:r w:rsidRPr="00317EB0">
              <w:rPr>
                <w:sz w:val="20"/>
                <w:szCs w:val="20"/>
              </w:rPr>
              <w:t>To be established 2020</w:t>
            </w:r>
          </w:p>
        </w:tc>
        <w:tc>
          <w:tcPr>
            <w:tcW w:w="1230" w:type="dxa"/>
          </w:tcPr>
          <w:p w14:paraId="1C467579" w14:textId="77777777" w:rsidR="00EA3949" w:rsidRDefault="00EA3949" w:rsidP="00A5195B"/>
        </w:tc>
        <w:tc>
          <w:tcPr>
            <w:tcW w:w="1230" w:type="dxa"/>
          </w:tcPr>
          <w:p w14:paraId="56155695" w14:textId="77777777" w:rsidR="00EA3949" w:rsidRDefault="00EA3949" w:rsidP="00A5195B"/>
        </w:tc>
        <w:tc>
          <w:tcPr>
            <w:tcW w:w="1231" w:type="dxa"/>
          </w:tcPr>
          <w:p w14:paraId="0BA771BE" w14:textId="77777777" w:rsidR="00EA3949" w:rsidRDefault="00EA3949" w:rsidP="00A5195B"/>
        </w:tc>
      </w:tr>
    </w:tbl>
    <w:p w14:paraId="1AB2F8B2" w14:textId="1D490694" w:rsidR="00A14021" w:rsidRDefault="00A14021" w:rsidP="00F63F00"/>
    <w:tbl>
      <w:tblPr>
        <w:tblStyle w:val="TableGrid"/>
        <w:tblW w:w="10343" w:type="dxa"/>
        <w:tblLook w:val="04A0" w:firstRow="1" w:lastRow="0" w:firstColumn="1" w:lastColumn="0" w:noHBand="0" w:noVBand="1"/>
      </w:tblPr>
      <w:tblGrid>
        <w:gridCol w:w="1271"/>
        <w:gridCol w:w="1512"/>
        <w:gridCol w:w="1512"/>
        <w:gridCol w:w="1512"/>
        <w:gridCol w:w="1512"/>
        <w:gridCol w:w="1512"/>
        <w:gridCol w:w="1512"/>
      </w:tblGrid>
      <w:tr w:rsidR="00CA685F" w:rsidRPr="00AB2794" w14:paraId="3BB72EDB" w14:textId="77777777" w:rsidTr="006268D0">
        <w:tc>
          <w:tcPr>
            <w:tcW w:w="1271" w:type="dxa"/>
          </w:tcPr>
          <w:p w14:paraId="197471FB" w14:textId="77777777" w:rsidR="00CA685F" w:rsidRPr="00AB2794" w:rsidRDefault="00CA685F" w:rsidP="006901F3">
            <w:pPr>
              <w:jc w:val="center"/>
              <w:rPr>
                <w:b/>
                <w:bCs/>
              </w:rPr>
            </w:pPr>
            <w:r w:rsidRPr="00AB2794">
              <w:rPr>
                <w:b/>
                <w:bCs/>
              </w:rPr>
              <w:t>Target or Measures</w:t>
            </w:r>
          </w:p>
        </w:tc>
        <w:tc>
          <w:tcPr>
            <w:tcW w:w="1512" w:type="dxa"/>
          </w:tcPr>
          <w:p w14:paraId="6DC5EC06" w14:textId="77777777" w:rsidR="00CA685F" w:rsidRDefault="00CA685F" w:rsidP="006901F3">
            <w:pPr>
              <w:jc w:val="center"/>
              <w:rPr>
                <w:b/>
                <w:bCs/>
              </w:rPr>
            </w:pPr>
            <w:r>
              <w:rPr>
                <w:b/>
                <w:bCs/>
              </w:rPr>
              <w:t>Base</w:t>
            </w:r>
          </w:p>
          <w:p w14:paraId="2108A424" w14:textId="5209BCBE" w:rsidR="005D00A7" w:rsidRDefault="005D00A7" w:rsidP="006901F3">
            <w:pPr>
              <w:jc w:val="center"/>
              <w:rPr>
                <w:b/>
                <w:bCs/>
              </w:rPr>
            </w:pPr>
            <w:r>
              <w:rPr>
                <w:b/>
                <w:bCs/>
              </w:rPr>
              <w:t>a</w:t>
            </w:r>
            <w:r w:rsidR="00CA685F">
              <w:rPr>
                <w:b/>
                <w:bCs/>
              </w:rPr>
              <w:t xml:space="preserve">veraged from </w:t>
            </w:r>
          </w:p>
          <w:p w14:paraId="234567DA" w14:textId="07DC146F" w:rsidR="00CA685F" w:rsidRPr="00AB2794" w:rsidRDefault="00CA685F" w:rsidP="006901F3">
            <w:pPr>
              <w:jc w:val="center"/>
              <w:rPr>
                <w:b/>
                <w:bCs/>
              </w:rPr>
            </w:pPr>
            <w:r>
              <w:rPr>
                <w:b/>
                <w:bCs/>
              </w:rPr>
              <w:t>2016-2018</w:t>
            </w:r>
          </w:p>
        </w:tc>
        <w:tc>
          <w:tcPr>
            <w:tcW w:w="1512" w:type="dxa"/>
          </w:tcPr>
          <w:p w14:paraId="38ADDC7B" w14:textId="74914C7F" w:rsidR="00CA685F" w:rsidRPr="00AB2794" w:rsidRDefault="002F58E0" w:rsidP="006901F3">
            <w:pPr>
              <w:jc w:val="center"/>
              <w:rPr>
                <w:b/>
                <w:bCs/>
              </w:rPr>
            </w:pPr>
            <w:r>
              <w:rPr>
                <w:b/>
                <w:bCs/>
              </w:rPr>
              <w:t>Year 1</w:t>
            </w:r>
          </w:p>
        </w:tc>
        <w:tc>
          <w:tcPr>
            <w:tcW w:w="1512" w:type="dxa"/>
          </w:tcPr>
          <w:p w14:paraId="018784B7" w14:textId="7B513263" w:rsidR="00CA685F" w:rsidRPr="00AB2794" w:rsidRDefault="002F58E0" w:rsidP="006901F3">
            <w:pPr>
              <w:jc w:val="center"/>
              <w:rPr>
                <w:b/>
                <w:bCs/>
              </w:rPr>
            </w:pPr>
            <w:r>
              <w:rPr>
                <w:b/>
                <w:bCs/>
              </w:rPr>
              <w:t>Year 2</w:t>
            </w:r>
          </w:p>
        </w:tc>
        <w:tc>
          <w:tcPr>
            <w:tcW w:w="1512" w:type="dxa"/>
          </w:tcPr>
          <w:p w14:paraId="4909FEC0" w14:textId="3B12F2ED" w:rsidR="00CA685F" w:rsidRPr="00AB2794" w:rsidRDefault="002F58E0" w:rsidP="006901F3">
            <w:pPr>
              <w:jc w:val="center"/>
              <w:rPr>
                <w:b/>
                <w:bCs/>
              </w:rPr>
            </w:pPr>
            <w:r>
              <w:rPr>
                <w:b/>
                <w:bCs/>
              </w:rPr>
              <w:t>Year 3</w:t>
            </w:r>
          </w:p>
        </w:tc>
        <w:tc>
          <w:tcPr>
            <w:tcW w:w="1512" w:type="dxa"/>
          </w:tcPr>
          <w:p w14:paraId="00F01CB3" w14:textId="6111E535" w:rsidR="00CA685F" w:rsidRPr="00AB2794" w:rsidRDefault="002F58E0" w:rsidP="006901F3">
            <w:pPr>
              <w:jc w:val="center"/>
              <w:rPr>
                <w:b/>
                <w:bCs/>
              </w:rPr>
            </w:pPr>
            <w:r>
              <w:rPr>
                <w:b/>
                <w:bCs/>
              </w:rPr>
              <w:t>Year 4</w:t>
            </w:r>
          </w:p>
        </w:tc>
        <w:tc>
          <w:tcPr>
            <w:tcW w:w="1512" w:type="dxa"/>
          </w:tcPr>
          <w:p w14:paraId="1689B37B" w14:textId="77098791" w:rsidR="00CA685F" w:rsidRPr="00AB2794" w:rsidRDefault="002F58E0" w:rsidP="006901F3">
            <w:pPr>
              <w:jc w:val="center"/>
              <w:rPr>
                <w:b/>
                <w:bCs/>
              </w:rPr>
            </w:pPr>
            <w:r>
              <w:rPr>
                <w:b/>
                <w:bCs/>
              </w:rPr>
              <w:t>Year 5</w:t>
            </w:r>
          </w:p>
        </w:tc>
      </w:tr>
      <w:tr w:rsidR="00CA685F" w14:paraId="0855E0F2" w14:textId="77777777" w:rsidTr="006268D0">
        <w:tc>
          <w:tcPr>
            <w:tcW w:w="1271" w:type="dxa"/>
          </w:tcPr>
          <w:p w14:paraId="5BF596BA" w14:textId="2F5C289D" w:rsidR="00CA685F" w:rsidRDefault="00CA685F" w:rsidP="006901F3">
            <w:r>
              <w:t>PIPS growth in reading</w:t>
            </w:r>
          </w:p>
        </w:tc>
        <w:tc>
          <w:tcPr>
            <w:tcW w:w="1512" w:type="dxa"/>
          </w:tcPr>
          <w:p w14:paraId="1AC210CA" w14:textId="77B8BBE7" w:rsidR="00CA685F" w:rsidRPr="006268D0" w:rsidRDefault="00CA685F" w:rsidP="006901F3">
            <w:pPr>
              <w:jc w:val="center"/>
              <w:rPr>
                <w:sz w:val="18"/>
                <w:szCs w:val="18"/>
              </w:rPr>
            </w:pPr>
            <w:r w:rsidRPr="006268D0">
              <w:rPr>
                <w:sz w:val="18"/>
                <w:szCs w:val="18"/>
              </w:rPr>
              <w:t>Low</w:t>
            </w:r>
          </w:p>
          <w:p w14:paraId="2CCE6409" w14:textId="41862B5A" w:rsidR="002F58E0" w:rsidRPr="006268D0" w:rsidRDefault="002F58E0" w:rsidP="006901F3">
            <w:pPr>
              <w:jc w:val="center"/>
              <w:rPr>
                <w:sz w:val="18"/>
                <w:szCs w:val="18"/>
              </w:rPr>
            </w:pPr>
            <w:r w:rsidRPr="006268D0">
              <w:rPr>
                <w:sz w:val="18"/>
                <w:szCs w:val="18"/>
              </w:rPr>
              <w:t>20.1%</w:t>
            </w:r>
          </w:p>
          <w:p w14:paraId="5339E460" w14:textId="5AA8A482" w:rsidR="002F58E0" w:rsidRPr="006268D0" w:rsidRDefault="002F58E0" w:rsidP="006901F3">
            <w:pPr>
              <w:jc w:val="center"/>
              <w:rPr>
                <w:sz w:val="18"/>
                <w:szCs w:val="18"/>
              </w:rPr>
            </w:pPr>
            <w:r w:rsidRPr="006268D0">
              <w:rPr>
                <w:sz w:val="18"/>
                <w:szCs w:val="18"/>
              </w:rPr>
              <w:t>Expected</w:t>
            </w:r>
            <w:r w:rsidR="006268D0" w:rsidRPr="006268D0">
              <w:rPr>
                <w:sz w:val="18"/>
                <w:szCs w:val="18"/>
              </w:rPr>
              <w:t xml:space="preserve"> or High</w:t>
            </w:r>
          </w:p>
          <w:p w14:paraId="1E20E878" w14:textId="1827D60A" w:rsidR="00CA685F" w:rsidRPr="006268D0" w:rsidRDefault="006268D0" w:rsidP="006268D0">
            <w:pPr>
              <w:jc w:val="center"/>
              <w:rPr>
                <w:sz w:val="18"/>
                <w:szCs w:val="18"/>
              </w:rPr>
            </w:pPr>
            <w:r>
              <w:rPr>
                <w:sz w:val="18"/>
                <w:szCs w:val="18"/>
              </w:rPr>
              <w:t>79.8</w:t>
            </w:r>
            <w:r w:rsidR="002F58E0" w:rsidRPr="006268D0">
              <w:rPr>
                <w:sz w:val="18"/>
                <w:szCs w:val="18"/>
              </w:rPr>
              <w:t>%</w:t>
            </w:r>
          </w:p>
        </w:tc>
        <w:tc>
          <w:tcPr>
            <w:tcW w:w="1512" w:type="dxa"/>
          </w:tcPr>
          <w:p w14:paraId="57363D33" w14:textId="10284237" w:rsidR="002F58E0" w:rsidRPr="006268D0" w:rsidRDefault="002F58E0" w:rsidP="002F58E0">
            <w:pPr>
              <w:jc w:val="center"/>
              <w:rPr>
                <w:sz w:val="18"/>
                <w:szCs w:val="18"/>
              </w:rPr>
            </w:pPr>
            <w:r w:rsidRPr="006268D0">
              <w:rPr>
                <w:sz w:val="18"/>
                <w:szCs w:val="18"/>
              </w:rPr>
              <w:t>Low</w:t>
            </w:r>
          </w:p>
          <w:p w14:paraId="56D6B36E" w14:textId="3E5FC652" w:rsidR="002F58E0" w:rsidRPr="006268D0" w:rsidRDefault="002F58E0" w:rsidP="002F58E0">
            <w:pPr>
              <w:jc w:val="center"/>
              <w:rPr>
                <w:sz w:val="18"/>
                <w:szCs w:val="18"/>
              </w:rPr>
            </w:pPr>
            <w:r w:rsidRPr="006268D0">
              <w:rPr>
                <w:sz w:val="18"/>
                <w:szCs w:val="18"/>
              </w:rPr>
              <w:t>18.4%</w:t>
            </w:r>
          </w:p>
          <w:p w14:paraId="28986115" w14:textId="51917A18" w:rsidR="002F58E0" w:rsidRPr="006268D0" w:rsidRDefault="002F58E0" w:rsidP="002F58E0">
            <w:pPr>
              <w:jc w:val="center"/>
              <w:rPr>
                <w:sz w:val="18"/>
                <w:szCs w:val="18"/>
              </w:rPr>
            </w:pPr>
            <w:r w:rsidRPr="006268D0">
              <w:rPr>
                <w:sz w:val="18"/>
                <w:szCs w:val="18"/>
              </w:rPr>
              <w:t xml:space="preserve">Expected </w:t>
            </w:r>
            <w:r w:rsidR="006268D0">
              <w:rPr>
                <w:sz w:val="18"/>
                <w:szCs w:val="18"/>
              </w:rPr>
              <w:t xml:space="preserve">or </w:t>
            </w:r>
            <w:r w:rsidRPr="006268D0">
              <w:rPr>
                <w:sz w:val="18"/>
                <w:szCs w:val="18"/>
              </w:rPr>
              <w:t>High</w:t>
            </w:r>
          </w:p>
          <w:p w14:paraId="6F83156A" w14:textId="5367A233" w:rsidR="00CA685F" w:rsidRPr="006268D0" w:rsidRDefault="006268D0" w:rsidP="002F58E0">
            <w:pPr>
              <w:jc w:val="center"/>
              <w:rPr>
                <w:sz w:val="18"/>
                <w:szCs w:val="18"/>
              </w:rPr>
            </w:pPr>
            <w:r>
              <w:rPr>
                <w:sz w:val="18"/>
                <w:szCs w:val="18"/>
              </w:rPr>
              <w:t>81.6</w:t>
            </w:r>
            <w:r w:rsidR="002F58E0" w:rsidRPr="006268D0">
              <w:rPr>
                <w:sz w:val="18"/>
                <w:szCs w:val="18"/>
              </w:rPr>
              <w:t>%</w:t>
            </w:r>
          </w:p>
        </w:tc>
        <w:tc>
          <w:tcPr>
            <w:tcW w:w="1512" w:type="dxa"/>
          </w:tcPr>
          <w:p w14:paraId="2972ED18" w14:textId="77777777" w:rsidR="00CA685F" w:rsidRPr="006268D0" w:rsidRDefault="00CA685F" w:rsidP="006901F3">
            <w:pPr>
              <w:jc w:val="center"/>
              <w:rPr>
                <w:sz w:val="18"/>
                <w:szCs w:val="18"/>
              </w:rPr>
            </w:pPr>
          </w:p>
        </w:tc>
        <w:tc>
          <w:tcPr>
            <w:tcW w:w="1512" w:type="dxa"/>
          </w:tcPr>
          <w:p w14:paraId="629F3F00" w14:textId="46FB1574" w:rsidR="00CA685F" w:rsidRPr="006268D0" w:rsidRDefault="00CA685F" w:rsidP="006901F3">
            <w:pPr>
              <w:jc w:val="center"/>
              <w:rPr>
                <w:sz w:val="18"/>
                <w:szCs w:val="18"/>
              </w:rPr>
            </w:pPr>
          </w:p>
        </w:tc>
        <w:tc>
          <w:tcPr>
            <w:tcW w:w="1512" w:type="dxa"/>
          </w:tcPr>
          <w:p w14:paraId="12D96AD6" w14:textId="1F7EE837" w:rsidR="00CA685F" w:rsidRPr="006268D0" w:rsidRDefault="00CA685F" w:rsidP="006901F3">
            <w:pPr>
              <w:jc w:val="center"/>
              <w:rPr>
                <w:sz w:val="18"/>
                <w:szCs w:val="18"/>
              </w:rPr>
            </w:pPr>
          </w:p>
        </w:tc>
        <w:tc>
          <w:tcPr>
            <w:tcW w:w="1512" w:type="dxa"/>
          </w:tcPr>
          <w:p w14:paraId="39E459CD" w14:textId="77777777" w:rsidR="00CA685F" w:rsidRPr="006268D0" w:rsidRDefault="00CA685F" w:rsidP="006901F3">
            <w:pPr>
              <w:jc w:val="center"/>
              <w:rPr>
                <w:sz w:val="18"/>
                <w:szCs w:val="18"/>
              </w:rPr>
            </w:pPr>
          </w:p>
        </w:tc>
      </w:tr>
      <w:tr w:rsidR="005D00A7" w14:paraId="5C81E082" w14:textId="77777777" w:rsidTr="006268D0">
        <w:tc>
          <w:tcPr>
            <w:tcW w:w="1271" w:type="dxa"/>
          </w:tcPr>
          <w:p w14:paraId="7E607ED3" w14:textId="739020B6" w:rsidR="005D00A7" w:rsidRDefault="005D00A7" w:rsidP="005D00A7">
            <w:r>
              <w:t>PIPS growth in maths</w:t>
            </w:r>
          </w:p>
        </w:tc>
        <w:tc>
          <w:tcPr>
            <w:tcW w:w="1512" w:type="dxa"/>
          </w:tcPr>
          <w:p w14:paraId="4E1F9EB6" w14:textId="77777777" w:rsidR="005D00A7" w:rsidRPr="006268D0" w:rsidRDefault="005D00A7" w:rsidP="005D00A7">
            <w:pPr>
              <w:jc w:val="center"/>
              <w:rPr>
                <w:sz w:val="18"/>
                <w:szCs w:val="18"/>
              </w:rPr>
            </w:pPr>
            <w:r w:rsidRPr="006268D0">
              <w:rPr>
                <w:sz w:val="18"/>
                <w:szCs w:val="18"/>
              </w:rPr>
              <w:t>Low</w:t>
            </w:r>
          </w:p>
          <w:p w14:paraId="2E1897F1" w14:textId="48D5615A" w:rsidR="005D00A7" w:rsidRPr="006268D0" w:rsidRDefault="006268D0" w:rsidP="005D00A7">
            <w:pPr>
              <w:jc w:val="center"/>
              <w:rPr>
                <w:sz w:val="18"/>
                <w:szCs w:val="18"/>
              </w:rPr>
            </w:pPr>
            <w:r w:rsidRPr="006268D0">
              <w:rPr>
                <w:sz w:val="18"/>
                <w:szCs w:val="18"/>
              </w:rPr>
              <w:t>32.2</w:t>
            </w:r>
            <w:r w:rsidR="005D00A7" w:rsidRPr="006268D0">
              <w:rPr>
                <w:sz w:val="18"/>
                <w:szCs w:val="18"/>
              </w:rPr>
              <w:t>%</w:t>
            </w:r>
          </w:p>
          <w:p w14:paraId="0089BAA4" w14:textId="6BA444A7" w:rsidR="005D00A7" w:rsidRPr="006268D0" w:rsidRDefault="005D00A7" w:rsidP="005D00A7">
            <w:pPr>
              <w:jc w:val="center"/>
              <w:rPr>
                <w:sz w:val="18"/>
                <w:szCs w:val="18"/>
              </w:rPr>
            </w:pPr>
            <w:r w:rsidRPr="006268D0">
              <w:rPr>
                <w:sz w:val="18"/>
                <w:szCs w:val="18"/>
              </w:rPr>
              <w:t>Expected</w:t>
            </w:r>
            <w:r w:rsidR="006268D0">
              <w:rPr>
                <w:sz w:val="18"/>
                <w:szCs w:val="18"/>
              </w:rPr>
              <w:t xml:space="preserve"> or High</w:t>
            </w:r>
          </w:p>
          <w:p w14:paraId="56EE647B" w14:textId="227F9109" w:rsidR="005D00A7" w:rsidRPr="006268D0" w:rsidRDefault="006268D0" w:rsidP="006268D0">
            <w:pPr>
              <w:jc w:val="center"/>
              <w:rPr>
                <w:sz w:val="18"/>
                <w:szCs w:val="18"/>
              </w:rPr>
            </w:pPr>
            <w:r>
              <w:rPr>
                <w:sz w:val="18"/>
                <w:szCs w:val="18"/>
              </w:rPr>
              <w:t>67.8</w:t>
            </w:r>
            <w:r w:rsidR="005D00A7" w:rsidRPr="006268D0">
              <w:rPr>
                <w:sz w:val="18"/>
                <w:szCs w:val="18"/>
              </w:rPr>
              <w:t>%</w:t>
            </w:r>
          </w:p>
        </w:tc>
        <w:tc>
          <w:tcPr>
            <w:tcW w:w="1512" w:type="dxa"/>
          </w:tcPr>
          <w:p w14:paraId="2F8C6A95" w14:textId="77777777" w:rsidR="005D00A7" w:rsidRPr="006268D0" w:rsidRDefault="005D00A7" w:rsidP="005D00A7">
            <w:pPr>
              <w:jc w:val="center"/>
              <w:rPr>
                <w:sz w:val="18"/>
                <w:szCs w:val="18"/>
              </w:rPr>
            </w:pPr>
            <w:r w:rsidRPr="006268D0">
              <w:rPr>
                <w:sz w:val="18"/>
                <w:szCs w:val="18"/>
              </w:rPr>
              <w:t>Low</w:t>
            </w:r>
          </w:p>
          <w:p w14:paraId="38E19B83" w14:textId="1D67EE1D" w:rsidR="005D00A7" w:rsidRPr="006268D0" w:rsidRDefault="006268D0" w:rsidP="005D00A7">
            <w:pPr>
              <w:jc w:val="center"/>
              <w:rPr>
                <w:sz w:val="18"/>
                <w:szCs w:val="18"/>
              </w:rPr>
            </w:pPr>
            <w:r w:rsidRPr="006268D0">
              <w:rPr>
                <w:sz w:val="18"/>
                <w:szCs w:val="18"/>
              </w:rPr>
              <w:t>32.9</w:t>
            </w:r>
            <w:r w:rsidR="005D00A7" w:rsidRPr="006268D0">
              <w:rPr>
                <w:sz w:val="18"/>
                <w:szCs w:val="18"/>
              </w:rPr>
              <w:t>%</w:t>
            </w:r>
          </w:p>
          <w:p w14:paraId="26E2E272" w14:textId="044B76CB" w:rsidR="005D00A7" w:rsidRPr="006268D0" w:rsidRDefault="005D00A7" w:rsidP="005D00A7">
            <w:pPr>
              <w:jc w:val="center"/>
              <w:rPr>
                <w:sz w:val="18"/>
                <w:szCs w:val="18"/>
              </w:rPr>
            </w:pPr>
            <w:r w:rsidRPr="006268D0">
              <w:rPr>
                <w:sz w:val="18"/>
                <w:szCs w:val="18"/>
              </w:rPr>
              <w:t xml:space="preserve">Expected </w:t>
            </w:r>
            <w:r w:rsidR="002560B4">
              <w:rPr>
                <w:sz w:val="18"/>
                <w:szCs w:val="18"/>
              </w:rPr>
              <w:t xml:space="preserve">or </w:t>
            </w:r>
            <w:r w:rsidRPr="006268D0">
              <w:rPr>
                <w:sz w:val="18"/>
                <w:szCs w:val="18"/>
              </w:rPr>
              <w:t>High</w:t>
            </w:r>
          </w:p>
          <w:p w14:paraId="12919808" w14:textId="5146940E" w:rsidR="005D00A7" w:rsidRPr="006268D0" w:rsidRDefault="002560B4" w:rsidP="005D00A7">
            <w:pPr>
              <w:jc w:val="center"/>
              <w:rPr>
                <w:sz w:val="18"/>
                <w:szCs w:val="18"/>
              </w:rPr>
            </w:pPr>
            <w:r>
              <w:rPr>
                <w:sz w:val="18"/>
                <w:szCs w:val="18"/>
              </w:rPr>
              <w:t>67.2</w:t>
            </w:r>
            <w:r w:rsidR="005D00A7" w:rsidRPr="006268D0">
              <w:rPr>
                <w:sz w:val="18"/>
                <w:szCs w:val="18"/>
              </w:rPr>
              <w:t>%</w:t>
            </w:r>
          </w:p>
        </w:tc>
        <w:tc>
          <w:tcPr>
            <w:tcW w:w="1512" w:type="dxa"/>
          </w:tcPr>
          <w:p w14:paraId="76821A1C" w14:textId="77777777" w:rsidR="005D00A7" w:rsidRPr="006268D0" w:rsidRDefault="005D00A7" w:rsidP="005D00A7">
            <w:pPr>
              <w:jc w:val="center"/>
              <w:rPr>
                <w:sz w:val="18"/>
                <w:szCs w:val="18"/>
              </w:rPr>
            </w:pPr>
          </w:p>
        </w:tc>
        <w:tc>
          <w:tcPr>
            <w:tcW w:w="1512" w:type="dxa"/>
          </w:tcPr>
          <w:p w14:paraId="78308EA4" w14:textId="77777777" w:rsidR="005D00A7" w:rsidRPr="006268D0" w:rsidRDefault="005D00A7" w:rsidP="005D00A7">
            <w:pPr>
              <w:jc w:val="center"/>
              <w:rPr>
                <w:sz w:val="18"/>
                <w:szCs w:val="18"/>
              </w:rPr>
            </w:pPr>
          </w:p>
        </w:tc>
        <w:tc>
          <w:tcPr>
            <w:tcW w:w="1512" w:type="dxa"/>
          </w:tcPr>
          <w:p w14:paraId="79DD2E20" w14:textId="77777777" w:rsidR="005D00A7" w:rsidRPr="006268D0" w:rsidRDefault="005D00A7" w:rsidP="005D00A7">
            <w:pPr>
              <w:jc w:val="center"/>
              <w:rPr>
                <w:sz w:val="18"/>
                <w:szCs w:val="18"/>
              </w:rPr>
            </w:pPr>
          </w:p>
        </w:tc>
        <w:tc>
          <w:tcPr>
            <w:tcW w:w="1512" w:type="dxa"/>
          </w:tcPr>
          <w:p w14:paraId="353F67E7" w14:textId="77777777" w:rsidR="005D00A7" w:rsidRPr="006268D0" w:rsidRDefault="005D00A7" w:rsidP="005D00A7">
            <w:pPr>
              <w:jc w:val="center"/>
              <w:rPr>
                <w:sz w:val="18"/>
                <w:szCs w:val="18"/>
              </w:rPr>
            </w:pPr>
          </w:p>
        </w:tc>
      </w:tr>
    </w:tbl>
    <w:p w14:paraId="158E1743" w14:textId="071F215C" w:rsidR="00CA685F" w:rsidRDefault="00CA685F" w:rsidP="00F63F00"/>
    <w:p w14:paraId="504F8CDB" w14:textId="66B012F0" w:rsidR="00CA685F" w:rsidRDefault="00CA685F" w:rsidP="00F63F00"/>
    <w:p w14:paraId="0BD37242" w14:textId="24CAEC83" w:rsidR="00CA685F" w:rsidRDefault="00CA685F" w:rsidP="00F63F00"/>
    <w:p w14:paraId="17E0193C" w14:textId="77777777" w:rsidR="00317EB0" w:rsidRDefault="00317EB0" w:rsidP="00F63F00"/>
    <w:p w14:paraId="325ED9A7" w14:textId="4E761C18" w:rsidR="00A14021" w:rsidRPr="00C0648C" w:rsidRDefault="00A14021" w:rsidP="00A14021">
      <w:pPr>
        <w:pStyle w:val="Heading4"/>
      </w:pPr>
      <w:r>
        <w:lastRenderedPageBreak/>
        <w:t xml:space="preserve">Perception </w:t>
      </w:r>
      <w:r w:rsidRPr="00C0648C">
        <w:t>data</w:t>
      </w:r>
    </w:p>
    <w:tbl>
      <w:tblPr>
        <w:tblStyle w:val="TableGrid"/>
        <w:tblW w:w="10262" w:type="dxa"/>
        <w:tblInd w:w="-5" w:type="dxa"/>
        <w:tblCellMar>
          <w:top w:w="57" w:type="dxa"/>
          <w:left w:w="57" w:type="dxa"/>
          <w:bottom w:w="57" w:type="dxa"/>
          <w:right w:w="57" w:type="dxa"/>
        </w:tblCellMar>
        <w:tblLook w:val="04A0" w:firstRow="1" w:lastRow="0" w:firstColumn="1" w:lastColumn="0" w:noHBand="0" w:noVBand="1"/>
      </w:tblPr>
      <w:tblGrid>
        <w:gridCol w:w="5443"/>
        <w:gridCol w:w="1204"/>
        <w:gridCol w:w="1205"/>
        <w:gridCol w:w="1205"/>
        <w:gridCol w:w="1205"/>
      </w:tblGrid>
      <w:tr w:rsidR="00775115" w14:paraId="2B6DBD0A" w14:textId="77777777" w:rsidTr="00A5195B">
        <w:tc>
          <w:tcPr>
            <w:tcW w:w="5443" w:type="dxa"/>
            <w:shd w:val="clear" w:color="auto" w:fill="auto"/>
          </w:tcPr>
          <w:p w14:paraId="33252C5D" w14:textId="77777777" w:rsidR="00775115" w:rsidRPr="006D2F6B" w:rsidRDefault="00775115" w:rsidP="00A5195B">
            <w:pPr>
              <w:rPr>
                <w:b/>
              </w:rPr>
            </w:pPr>
            <w:r w:rsidRPr="006D2F6B">
              <w:rPr>
                <w:b/>
              </w:rPr>
              <w:t>Targets or Measures</w:t>
            </w:r>
            <w:r>
              <w:rPr>
                <w:b/>
              </w:rPr>
              <w:t xml:space="preserve"> – Student Perception Data</w:t>
            </w:r>
          </w:p>
        </w:tc>
        <w:tc>
          <w:tcPr>
            <w:tcW w:w="1204" w:type="dxa"/>
            <w:shd w:val="clear" w:color="auto" w:fill="auto"/>
          </w:tcPr>
          <w:p w14:paraId="3423C2EE" w14:textId="77777777" w:rsidR="00775115" w:rsidRPr="006D2F6B" w:rsidRDefault="00775115" w:rsidP="00A5195B">
            <w:pPr>
              <w:jc w:val="center"/>
              <w:rPr>
                <w:b/>
              </w:rPr>
            </w:pPr>
            <w:r w:rsidRPr="006D2F6B">
              <w:rPr>
                <w:b/>
              </w:rPr>
              <w:t>Base</w:t>
            </w:r>
          </w:p>
        </w:tc>
        <w:tc>
          <w:tcPr>
            <w:tcW w:w="1205" w:type="dxa"/>
            <w:shd w:val="clear" w:color="auto" w:fill="auto"/>
          </w:tcPr>
          <w:p w14:paraId="5AF9E174" w14:textId="77777777" w:rsidR="00775115" w:rsidRPr="006D2F6B" w:rsidRDefault="00775115" w:rsidP="00A5195B">
            <w:pPr>
              <w:jc w:val="center"/>
              <w:rPr>
                <w:b/>
              </w:rPr>
            </w:pPr>
            <w:r w:rsidRPr="006D2F6B">
              <w:rPr>
                <w:b/>
              </w:rPr>
              <w:t>Year 1</w:t>
            </w:r>
          </w:p>
        </w:tc>
        <w:tc>
          <w:tcPr>
            <w:tcW w:w="1205" w:type="dxa"/>
            <w:shd w:val="clear" w:color="auto" w:fill="auto"/>
          </w:tcPr>
          <w:p w14:paraId="3F4AF36F" w14:textId="77777777" w:rsidR="00775115" w:rsidRPr="006D2F6B" w:rsidRDefault="00775115" w:rsidP="00A5195B">
            <w:pPr>
              <w:jc w:val="center"/>
              <w:rPr>
                <w:b/>
              </w:rPr>
            </w:pPr>
            <w:r w:rsidRPr="006D2F6B">
              <w:rPr>
                <w:b/>
              </w:rPr>
              <w:t>Year 2</w:t>
            </w:r>
          </w:p>
        </w:tc>
        <w:tc>
          <w:tcPr>
            <w:tcW w:w="1205" w:type="dxa"/>
            <w:shd w:val="clear" w:color="auto" w:fill="auto"/>
          </w:tcPr>
          <w:p w14:paraId="3969D06D" w14:textId="77777777" w:rsidR="00775115" w:rsidRPr="006D2F6B" w:rsidRDefault="00775115" w:rsidP="00A5195B">
            <w:pPr>
              <w:jc w:val="center"/>
              <w:rPr>
                <w:b/>
              </w:rPr>
            </w:pPr>
            <w:r w:rsidRPr="006D2F6B">
              <w:rPr>
                <w:b/>
              </w:rPr>
              <w:t>Year 3</w:t>
            </w:r>
          </w:p>
        </w:tc>
      </w:tr>
      <w:tr w:rsidR="00775115" w14:paraId="67ADB53D" w14:textId="77777777" w:rsidTr="00A5195B">
        <w:tc>
          <w:tcPr>
            <w:tcW w:w="5443" w:type="dxa"/>
            <w:shd w:val="clear" w:color="auto" w:fill="auto"/>
          </w:tcPr>
          <w:p w14:paraId="2BFA0180" w14:textId="195D3843" w:rsidR="00775115" w:rsidRPr="006D2F6B" w:rsidRDefault="00775115" w:rsidP="00A5195B">
            <w:pPr>
              <w:pStyle w:val="PlainText"/>
            </w:pPr>
            <w:r>
              <w:t xml:space="preserve">Student perception data on </w:t>
            </w:r>
            <w:r w:rsidR="008D6E52">
              <w:t xml:space="preserve">maths. </w:t>
            </w:r>
          </w:p>
        </w:tc>
        <w:tc>
          <w:tcPr>
            <w:tcW w:w="1204" w:type="dxa"/>
            <w:shd w:val="clear" w:color="auto" w:fill="auto"/>
          </w:tcPr>
          <w:p w14:paraId="31184F50" w14:textId="77777777" w:rsidR="00775115" w:rsidRPr="006D2F6B" w:rsidRDefault="00775115" w:rsidP="00A5195B">
            <w:pPr>
              <w:jc w:val="center"/>
            </w:pPr>
            <w:r>
              <w:t>To be established 2020</w:t>
            </w:r>
          </w:p>
        </w:tc>
        <w:tc>
          <w:tcPr>
            <w:tcW w:w="1205" w:type="dxa"/>
            <w:shd w:val="clear" w:color="auto" w:fill="auto"/>
          </w:tcPr>
          <w:p w14:paraId="0CA7724D" w14:textId="77777777" w:rsidR="00775115" w:rsidRPr="006D2F6B" w:rsidRDefault="00775115" w:rsidP="00A5195B"/>
        </w:tc>
        <w:tc>
          <w:tcPr>
            <w:tcW w:w="1205" w:type="dxa"/>
            <w:shd w:val="clear" w:color="auto" w:fill="auto"/>
          </w:tcPr>
          <w:p w14:paraId="0ED8BD55" w14:textId="77777777" w:rsidR="00775115" w:rsidRPr="006D2F6B" w:rsidRDefault="00775115" w:rsidP="00A5195B"/>
        </w:tc>
        <w:tc>
          <w:tcPr>
            <w:tcW w:w="1205" w:type="dxa"/>
            <w:shd w:val="clear" w:color="auto" w:fill="auto"/>
          </w:tcPr>
          <w:p w14:paraId="2BE412B0" w14:textId="77777777" w:rsidR="00775115" w:rsidRPr="006D2F6B" w:rsidRDefault="00775115" w:rsidP="00A5195B"/>
        </w:tc>
      </w:tr>
    </w:tbl>
    <w:p w14:paraId="129AC3AF" w14:textId="77777777" w:rsidR="008D6E52" w:rsidRDefault="008D6E52" w:rsidP="00775115"/>
    <w:tbl>
      <w:tblPr>
        <w:tblStyle w:val="TableGrid"/>
        <w:tblW w:w="10247" w:type="dxa"/>
        <w:tblLook w:val="04A0" w:firstRow="1" w:lastRow="0" w:firstColumn="1" w:lastColumn="0" w:noHBand="0" w:noVBand="1"/>
      </w:tblPr>
      <w:tblGrid>
        <w:gridCol w:w="2891"/>
        <w:gridCol w:w="1639"/>
        <w:gridCol w:w="1467"/>
        <w:gridCol w:w="1467"/>
        <w:gridCol w:w="1458"/>
        <w:gridCol w:w="1325"/>
      </w:tblGrid>
      <w:tr w:rsidR="00074D28" w14:paraId="5ADC732C" w14:textId="77777777" w:rsidTr="00A5195B">
        <w:tc>
          <w:tcPr>
            <w:tcW w:w="2891" w:type="dxa"/>
          </w:tcPr>
          <w:p w14:paraId="69E9F054" w14:textId="77777777" w:rsidR="00775115" w:rsidRPr="00A50C0D" w:rsidRDefault="00775115" w:rsidP="00A5195B">
            <w:pPr>
              <w:rPr>
                <w:b/>
                <w:bCs/>
              </w:rPr>
            </w:pPr>
            <w:r w:rsidRPr="00A50C0D">
              <w:rPr>
                <w:b/>
                <w:bCs/>
              </w:rPr>
              <w:t>Targets or measures</w:t>
            </w:r>
            <w:r>
              <w:rPr>
                <w:b/>
                <w:bCs/>
              </w:rPr>
              <w:t xml:space="preserve"> – Teacher Perception Data</w:t>
            </w:r>
          </w:p>
        </w:tc>
        <w:tc>
          <w:tcPr>
            <w:tcW w:w="1639" w:type="dxa"/>
          </w:tcPr>
          <w:p w14:paraId="4EB5BF26" w14:textId="77777777" w:rsidR="00775115" w:rsidRPr="00A50C0D" w:rsidRDefault="00775115" w:rsidP="00A5195B">
            <w:pPr>
              <w:jc w:val="center"/>
              <w:rPr>
                <w:b/>
                <w:bCs/>
              </w:rPr>
            </w:pPr>
            <w:r w:rsidRPr="00A50C0D">
              <w:rPr>
                <w:b/>
                <w:bCs/>
              </w:rPr>
              <w:t>Base – established in 2019</w:t>
            </w:r>
          </w:p>
        </w:tc>
        <w:tc>
          <w:tcPr>
            <w:tcW w:w="1467" w:type="dxa"/>
          </w:tcPr>
          <w:p w14:paraId="2D72FF94" w14:textId="77777777" w:rsidR="00775115" w:rsidRDefault="00775115" w:rsidP="00A5195B">
            <w:pPr>
              <w:jc w:val="center"/>
              <w:rPr>
                <w:b/>
                <w:bCs/>
              </w:rPr>
            </w:pPr>
            <w:r w:rsidRPr="00A50C0D">
              <w:rPr>
                <w:b/>
                <w:bCs/>
              </w:rPr>
              <w:t>Year 1</w:t>
            </w:r>
          </w:p>
          <w:p w14:paraId="2FC3A463" w14:textId="77777777" w:rsidR="00775115" w:rsidRPr="00A50C0D" w:rsidRDefault="00775115" w:rsidP="00A5195B">
            <w:pPr>
              <w:jc w:val="center"/>
              <w:rPr>
                <w:b/>
                <w:bCs/>
              </w:rPr>
            </w:pPr>
            <w:r w:rsidRPr="00A50C0D">
              <w:rPr>
                <w:b/>
                <w:bCs/>
              </w:rPr>
              <w:t>2020</w:t>
            </w:r>
          </w:p>
        </w:tc>
        <w:tc>
          <w:tcPr>
            <w:tcW w:w="1467" w:type="dxa"/>
          </w:tcPr>
          <w:p w14:paraId="7F8638B6" w14:textId="77777777" w:rsidR="00775115" w:rsidRDefault="00775115" w:rsidP="00A5195B">
            <w:pPr>
              <w:jc w:val="center"/>
              <w:rPr>
                <w:b/>
                <w:bCs/>
              </w:rPr>
            </w:pPr>
            <w:r w:rsidRPr="00A50C0D">
              <w:rPr>
                <w:b/>
                <w:bCs/>
              </w:rPr>
              <w:t>Year 2</w:t>
            </w:r>
          </w:p>
          <w:p w14:paraId="5B3A9AA6" w14:textId="77777777" w:rsidR="00775115" w:rsidRPr="00A50C0D" w:rsidRDefault="00775115" w:rsidP="00A5195B">
            <w:pPr>
              <w:jc w:val="center"/>
              <w:rPr>
                <w:b/>
                <w:bCs/>
              </w:rPr>
            </w:pPr>
            <w:r w:rsidRPr="00A50C0D">
              <w:rPr>
                <w:b/>
                <w:bCs/>
              </w:rPr>
              <w:t>2021</w:t>
            </w:r>
          </w:p>
        </w:tc>
        <w:tc>
          <w:tcPr>
            <w:tcW w:w="1458" w:type="dxa"/>
          </w:tcPr>
          <w:p w14:paraId="724BA7F2" w14:textId="77777777" w:rsidR="00775115" w:rsidRDefault="00775115" w:rsidP="00A5195B">
            <w:pPr>
              <w:jc w:val="center"/>
              <w:rPr>
                <w:b/>
                <w:bCs/>
              </w:rPr>
            </w:pPr>
            <w:r w:rsidRPr="00A50C0D">
              <w:rPr>
                <w:b/>
                <w:bCs/>
              </w:rPr>
              <w:t>Year 3</w:t>
            </w:r>
          </w:p>
          <w:p w14:paraId="5B76E05B" w14:textId="77777777" w:rsidR="00775115" w:rsidRPr="00A50C0D" w:rsidRDefault="00775115" w:rsidP="00A5195B">
            <w:pPr>
              <w:jc w:val="center"/>
              <w:rPr>
                <w:b/>
                <w:bCs/>
              </w:rPr>
            </w:pPr>
            <w:r w:rsidRPr="00A50C0D">
              <w:rPr>
                <w:b/>
                <w:bCs/>
              </w:rPr>
              <w:t>2022</w:t>
            </w:r>
          </w:p>
        </w:tc>
        <w:tc>
          <w:tcPr>
            <w:tcW w:w="1325" w:type="dxa"/>
          </w:tcPr>
          <w:p w14:paraId="7A89DD32" w14:textId="77777777" w:rsidR="00775115" w:rsidRDefault="00775115" w:rsidP="00A5195B">
            <w:pPr>
              <w:jc w:val="center"/>
              <w:rPr>
                <w:b/>
                <w:bCs/>
              </w:rPr>
            </w:pPr>
            <w:r w:rsidRPr="00A50C0D">
              <w:rPr>
                <w:b/>
                <w:bCs/>
              </w:rPr>
              <w:t>Year 4</w:t>
            </w:r>
          </w:p>
          <w:p w14:paraId="15F7B4B6" w14:textId="77777777" w:rsidR="00775115" w:rsidRPr="00A50C0D" w:rsidRDefault="00775115" w:rsidP="00A5195B">
            <w:pPr>
              <w:jc w:val="center"/>
              <w:rPr>
                <w:b/>
                <w:bCs/>
              </w:rPr>
            </w:pPr>
            <w:r w:rsidRPr="00A50C0D">
              <w:rPr>
                <w:b/>
                <w:bCs/>
              </w:rPr>
              <w:t>2023</w:t>
            </w:r>
          </w:p>
        </w:tc>
      </w:tr>
      <w:tr w:rsidR="00074D28" w14:paraId="04F4B8F0" w14:textId="77777777" w:rsidTr="00A5195B">
        <w:tc>
          <w:tcPr>
            <w:tcW w:w="2891" w:type="dxa"/>
          </w:tcPr>
          <w:p w14:paraId="563B3CA5" w14:textId="0B73DD66" w:rsidR="00775115" w:rsidRDefault="00F524FD" w:rsidP="00A5195B">
            <w:r>
              <w:t>How useful did you find the professional learning with Anita Chin in January?</w:t>
            </w:r>
          </w:p>
        </w:tc>
        <w:tc>
          <w:tcPr>
            <w:tcW w:w="1639" w:type="dxa"/>
          </w:tcPr>
          <w:p w14:paraId="399261BB" w14:textId="39D90711" w:rsidR="00775115" w:rsidRDefault="00F524FD" w:rsidP="00A5195B">
            <w:pPr>
              <w:jc w:val="center"/>
            </w:pPr>
            <w:r>
              <w:t>Not or marginally useful –</w:t>
            </w:r>
            <w:r w:rsidR="00074D28">
              <w:t>-</w:t>
            </w:r>
            <w:r>
              <w:t>18%</w:t>
            </w:r>
          </w:p>
          <w:p w14:paraId="3FBC09F7" w14:textId="77777777" w:rsidR="00775115" w:rsidRDefault="00775115" w:rsidP="00A5195B">
            <w:pPr>
              <w:jc w:val="center"/>
            </w:pPr>
          </w:p>
          <w:p w14:paraId="78757FC6" w14:textId="34CFC37B" w:rsidR="00775115" w:rsidRDefault="00074D28" w:rsidP="00A5195B">
            <w:pPr>
              <w:jc w:val="center"/>
            </w:pPr>
            <w:r>
              <w:t>Somewhat useful – 33%</w:t>
            </w:r>
          </w:p>
          <w:p w14:paraId="4EB3D893" w14:textId="77777777" w:rsidR="00775115" w:rsidRDefault="00775115" w:rsidP="00A5195B">
            <w:pPr>
              <w:jc w:val="center"/>
            </w:pPr>
          </w:p>
          <w:p w14:paraId="64884CCD" w14:textId="11BB5C5E" w:rsidR="00775115" w:rsidRDefault="00074D28" w:rsidP="00A5195B">
            <w:pPr>
              <w:jc w:val="center"/>
            </w:pPr>
            <w:r>
              <w:t>Very or extremely useful and informative - 49%</w:t>
            </w:r>
          </w:p>
        </w:tc>
        <w:tc>
          <w:tcPr>
            <w:tcW w:w="1467" w:type="dxa"/>
          </w:tcPr>
          <w:p w14:paraId="5BF746A9" w14:textId="77777777" w:rsidR="00775115" w:rsidRDefault="00775115" w:rsidP="00A5195B"/>
        </w:tc>
        <w:tc>
          <w:tcPr>
            <w:tcW w:w="1467" w:type="dxa"/>
          </w:tcPr>
          <w:p w14:paraId="385EBAB4" w14:textId="77777777" w:rsidR="00775115" w:rsidRDefault="00775115" w:rsidP="00A5195B"/>
        </w:tc>
        <w:tc>
          <w:tcPr>
            <w:tcW w:w="1458" w:type="dxa"/>
          </w:tcPr>
          <w:p w14:paraId="252D6827" w14:textId="77777777" w:rsidR="00775115" w:rsidRDefault="00775115" w:rsidP="00A5195B"/>
        </w:tc>
        <w:tc>
          <w:tcPr>
            <w:tcW w:w="1325" w:type="dxa"/>
          </w:tcPr>
          <w:p w14:paraId="5A01750F" w14:textId="77777777" w:rsidR="00775115" w:rsidRDefault="00775115" w:rsidP="00A5195B"/>
        </w:tc>
      </w:tr>
      <w:tr w:rsidR="00074D28" w14:paraId="5C0BD3AE" w14:textId="77777777" w:rsidTr="00A5195B">
        <w:tc>
          <w:tcPr>
            <w:tcW w:w="2891" w:type="dxa"/>
          </w:tcPr>
          <w:p w14:paraId="3B6785A9" w14:textId="16575AB1" w:rsidR="00775115" w:rsidRDefault="00074D28" w:rsidP="00A5195B">
            <w:r>
              <w:t>Have you used any strategies shared by Anita Chin in the January PL?</w:t>
            </w:r>
          </w:p>
        </w:tc>
        <w:tc>
          <w:tcPr>
            <w:tcW w:w="1639" w:type="dxa"/>
          </w:tcPr>
          <w:p w14:paraId="14FE43D5" w14:textId="76595789" w:rsidR="00775115" w:rsidRDefault="00074D28" w:rsidP="00A5195B">
            <w:pPr>
              <w:jc w:val="center"/>
            </w:pPr>
            <w:r>
              <w:t>Yes - 70%</w:t>
            </w:r>
          </w:p>
          <w:p w14:paraId="4C82E69D" w14:textId="77777777" w:rsidR="00074D28" w:rsidRDefault="00074D28" w:rsidP="00A5195B">
            <w:pPr>
              <w:jc w:val="center"/>
            </w:pPr>
          </w:p>
          <w:p w14:paraId="74336046" w14:textId="4EFADFAB" w:rsidR="00074D28" w:rsidRDefault="00074D28" w:rsidP="00A5195B">
            <w:pPr>
              <w:jc w:val="center"/>
            </w:pPr>
            <w:r>
              <w:t>No 30%</w:t>
            </w:r>
          </w:p>
        </w:tc>
        <w:tc>
          <w:tcPr>
            <w:tcW w:w="1467" w:type="dxa"/>
          </w:tcPr>
          <w:p w14:paraId="72014940" w14:textId="77777777" w:rsidR="00775115" w:rsidRDefault="00775115" w:rsidP="00A5195B"/>
        </w:tc>
        <w:tc>
          <w:tcPr>
            <w:tcW w:w="1467" w:type="dxa"/>
          </w:tcPr>
          <w:p w14:paraId="366404C7" w14:textId="77777777" w:rsidR="00775115" w:rsidRDefault="00775115" w:rsidP="00A5195B"/>
        </w:tc>
        <w:tc>
          <w:tcPr>
            <w:tcW w:w="1458" w:type="dxa"/>
          </w:tcPr>
          <w:p w14:paraId="361808C1" w14:textId="77777777" w:rsidR="00775115" w:rsidRDefault="00775115" w:rsidP="00A5195B"/>
        </w:tc>
        <w:tc>
          <w:tcPr>
            <w:tcW w:w="1325" w:type="dxa"/>
          </w:tcPr>
          <w:p w14:paraId="5314B25F" w14:textId="77777777" w:rsidR="00775115" w:rsidRDefault="00775115" w:rsidP="00A5195B"/>
        </w:tc>
      </w:tr>
      <w:tr w:rsidR="00074D28" w14:paraId="4EF2C347" w14:textId="77777777" w:rsidTr="00A5195B">
        <w:tc>
          <w:tcPr>
            <w:tcW w:w="2891" w:type="dxa"/>
          </w:tcPr>
          <w:p w14:paraId="4CC4AD00" w14:textId="4EC40028" w:rsidR="00775115" w:rsidRDefault="00074D28" w:rsidP="00A5195B">
            <w:r>
              <w:t>Have you tried differentiating your maths lessons using the strategies shared by Anita Chin?</w:t>
            </w:r>
          </w:p>
        </w:tc>
        <w:tc>
          <w:tcPr>
            <w:tcW w:w="1639" w:type="dxa"/>
          </w:tcPr>
          <w:p w14:paraId="302DBD55" w14:textId="236AD46C" w:rsidR="00775115" w:rsidRDefault="00775115" w:rsidP="00A5195B">
            <w:pPr>
              <w:jc w:val="center"/>
            </w:pPr>
            <w:r>
              <w:t xml:space="preserve">Yes </w:t>
            </w:r>
            <w:r w:rsidR="00074D28">
              <w:t>–</w:t>
            </w:r>
            <w:r>
              <w:t xml:space="preserve"> </w:t>
            </w:r>
            <w:r w:rsidR="00074D28">
              <w:t>64%</w:t>
            </w:r>
          </w:p>
          <w:p w14:paraId="65C521AB" w14:textId="77777777" w:rsidR="00775115" w:rsidRDefault="00775115" w:rsidP="00A5195B">
            <w:pPr>
              <w:jc w:val="center"/>
            </w:pPr>
          </w:p>
          <w:p w14:paraId="56A99B60" w14:textId="1C3CB040" w:rsidR="00775115" w:rsidRDefault="00775115" w:rsidP="00A5195B">
            <w:pPr>
              <w:jc w:val="center"/>
            </w:pPr>
            <w:r>
              <w:t>No – 3</w:t>
            </w:r>
            <w:r w:rsidR="00074D28">
              <w:t>6</w:t>
            </w:r>
            <w:r>
              <w:t>%</w:t>
            </w:r>
          </w:p>
        </w:tc>
        <w:tc>
          <w:tcPr>
            <w:tcW w:w="1467" w:type="dxa"/>
          </w:tcPr>
          <w:p w14:paraId="43BA8E30" w14:textId="77777777" w:rsidR="00775115" w:rsidRDefault="00775115" w:rsidP="00A5195B"/>
        </w:tc>
        <w:tc>
          <w:tcPr>
            <w:tcW w:w="1467" w:type="dxa"/>
          </w:tcPr>
          <w:p w14:paraId="66ED98E2" w14:textId="77777777" w:rsidR="00775115" w:rsidRDefault="00775115" w:rsidP="00A5195B"/>
        </w:tc>
        <w:tc>
          <w:tcPr>
            <w:tcW w:w="1458" w:type="dxa"/>
          </w:tcPr>
          <w:p w14:paraId="440F00F3" w14:textId="77777777" w:rsidR="00775115" w:rsidRDefault="00775115" w:rsidP="00A5195B"/>
        </w:tc>
        <w:tc>
          <w:tcPr>
            <w:tcW w:w="1325" w:type="dxa"/>
          </w:tcPr>
          <w:p w14:paraId="0EA444DE" w14:textId="77777777" w:rsidR="00775115" w:rsidRDefault="00775115" w:rsidP="00A5195B"/>
        </w:tc>
      </w:tr>
      <w:tr w:rsidR="00074D28" w14:paraId="40AADB78" w14:textId="77777777" w:rsidTr="00A5195B">
        <w:tc>
          <w:tcPr>
            <w:tcW w:w="2891" w:type="dxa"/>
          </w:tcPr>
          <w:p w14:paraId="5DC334BF" w14:textId="032B61AE" w:rsidR="00074D28" w:rsidRDefault="00074D28" w:rsidP="00074D28">
            <w:r>
              <w:t xml:space="preserve">How confident are you with the maths content of the Australian </w:t>
            </w:r>
            <w:r w:rsidR="001C2063">
              <w:t xml:space="preserve">Curriculum? </w:t>
            </w:r>
          </w:p>
        </w:tc>
        <w:tc>
          <w:tcPr>
            <w:tcW w:w="1639" w:type="dxa"/>
          </w:tcPr>
          <w:p w14:paraId="24DA14E0" w14:textId="63DD64CA" w:rsidR="00074D28" w:rsidRDefault="00074D28" w:rsidP="00074D28">
            <w:pPr>
              <w:jc w:val="center"/>
            </w:pPr>
            <w:r>
              <w:t xml:space="preserve">Marginally </w:t>
            </w:r>
            <w:r w:rsidR="001C2063">
              <w:t>c</w:t>
            </w:r>
            <w:r>
              <w:t>onfident - 15%</w:t>
            </w:r>
          </w:p>
          <w:p w14:paraId="5D5F8D0C" w14:textId="77777777" w:rsidR="00074D28" w:rsidRDefault="00074D28" w:rsidP="00074D28">
            <w:pPr>
              <w:jc w:val="center"/>
            </w:pPr>
          </w:p>
          <w:p w14:paraId="35B2DDA0" w14:textId="69ACCFCC" w:rsidR="00074D28" w:rsidRDefault="00EA3949" w:rsidP="00074D28">
            <w:pPr>
              <w:jc w:val="center"/>
            </w:pPr>
            <w:r>
              <w:t>Somewhat confident</w:t>
            </w:r>
            <w:r w:rsidR="00074D28">
              <w:t xml:space="preserve"> -</w:t>
            </w:r>
          </w:p>
          <w:p w14:paraId="29ED1BEB" w14:textId="772817D2" w:rsidR="00074D28" w:rsidRDefault="00074D28" w:rsidP="00074D28">
            <w:pPr>
              <w:jc w:val="center"/>
            </w:pPr>
            <w:r>
              <w:t>3</w:t>
            </w:r>
            <w:r w:rsidR="00EA3949">
              <w:t>3</w:t>
            </w:r>
            <w:r>
              <w:t>%</w:t>
            </w:r>
          </w:p>
          <w:p w14:paraId="0854C337" w14:textId="77777777" w:rsidR="00074D28" w:rsidRDefault="00074D28" w:rsidP="00074D28">
            <w:pPr>
              <w:jc w:val="center"/>
            </w:pPr>
          </w:p>
          <w:p w14:paraId="24CB63D2" w14:textId="04153747" w:rsidR="00074D28" w:rsidRDefault="00074D28" w:rsidP="00074D28">
            <w:pPr>
              <w:jc w:val="center"/>
            </w:pPr>
            <w:r>
              <w:t xml:space="preserve">Highly confident and able to coach others - </w:t>
            </w:r>
            <w:r w:rsidR="00EA3949">
              <w:t>52</w:t>
            </w:r>
            <w:r>
              <w:t>%</w:t>
            </w:r>
          </w:p>
        </w:tc>
        <w:tc>
          <w:tcPr>
            <w:tcW w:w="1467" w:type="dxa"/>
          </w:tcPr>
          <w:p w14:paraId="29C1405D" w14:textId="77777777" w:rsidR="00074D28" w:rsidRDefault="00074D28" w:rsidP="00074D28"/>
        </w:tc>
        <w:tc>
          <w:tcPr>
            <w:tcW w:w="1467" w:type="dxa"/>
          </w:tcPr>
          <w:p w14:paraId="75CEF7CA" w14:textId="77777777" w:rsidR="00074D28" w:rsidRDefault="00074D28" w:rsidP="00074D28"/>
        </w:tc>
        <w:tc>
          <w:tcPr>
            <w:tcW w:w="1458" w:type="dxa"/>
          </w:tcPr>
          <w:p w14:paraId="2004EF94" w14:textId="77777777" w:rsidR="00074D28" w:rsidRDefault="00074D28" w:rsidP="00074D28"/>
        </w:tc>
        <w:tc>
          <w:tcPr>
            <w:tcW w:w="1325" w:type="dxa"/>
          </w:tcPr>
          <w:p w14:paraId="7867C985" w14:textId="77777777" w:rsidR="00074D28" w:rsidRDefault="00074D28" w:rsidP="00074D28"/>
        </w:tc>
      </w:tr>
      <w:tr w:rsidR="00EA3949" w14:paraId="20C8B4F0" w14:textId="77777777" w:rsidTr="00A5195B">
        <w:tc>
          <w:tcPr>
            <w:tcW w:w="2891" w:type="dxa"/>
          </w:tcPr>
          <w:p w14:paraId="1A312413" w14:textId="78F7B8DD" w:rsidR="00EA3949" w:rsidRDefault="00EA3949" w:rsidP="00EA3949">
            <w:r>
              <w:t xml:space="preserve">How confident are you with </w:t>
            </w:r>
            <w:r w:rsidR="0028048D">
              <w:t>differentiating the maths curriculum in your classroom?</w:t>
            </w:r>
          </w:p>
        </w:tc>
        <w:tc>
          <w:tcPr>
            <w:tcW w:w="1639" w:type="dxa"/>
          </w:tcPr>
          <w:p w14:paraId="0F58110F" w14:textId="28A904F8" w:rsidR="00EA3949" w:rsidRDefault="00EA3949" w:rsidP="00EA3949">
            <w:pPr>
              <w:jc w:val="center"/>
            </w:pPr>
            <w:r>
              <w:t>Not or marginally confident - 18%</w:t>
            </w:r>
          </w:p>
          <w:p w14:paraId="409324DF" w14:textId="77777777" w:rsidR="00EA3949" w:rsidRDefault="00EA3949" w:rsidP="00EA3949">
            <w:pPr>
              <w:jc w:val="center"/>
            </w:pPr>
          </w:p>
          <w:p w14:paraId="67FA503B" w14:textId="77777777" w:rsidR="00EA3949" w:rsidRDefault="00EA3949" w:rsidP="00EA3949">
            <w:pPr>
              <w:jc w:val="center"/>
            </w:pPr>
            <w:r>
              <w:t>Somewhat confident -</w:t>
            </w:r>
          </w:p>
          <w:p w14:paraId="08E4E3BE" w14:textId="77777777" w:rsidR="00EA3949" w:rsidRDefault="00EA3949" w:rsidP="00EA3949">
            <w:pPr>
              <w:jc w:val="center"/>
            </w:pPr>
            <w:r>
              <w:t>33%</w:t>
            </w:r>
          </w:p>
          <w:p w14:paraId="5001B09C" w14:textId="77777777" w:rsidR="00EA3949" w:rsidRDefault="00EA3949" w:rsidP="00EA3949">
            <w:pPr>
              <w:jc w:val="center"/>
            </w:pPr>
          </w:p>
          <w:p w14:paraId="6A41BA87" w14:textId="21F114AC" w:rsidR="00EA3949" w:rsidRDefault="00EA3949" w:rsidP="00EA3949">
            <w:pPr>
              <w:jc w:val="center"/>
            </w:pPr>
            <w:r>
              <w:t>Highly confident and able to coach others - 49%</w:t>
            </w:r>
          </w:p>
        </w:tc>
        <w:tc>
          <w:tcPr>
            <w:tcW w:w="1467" w:type="dxa"/>
          </w:tcPr>
          <w:p w14:paraId="769DADC6" w14:textId="77777777" w:rsidR="00EA3949" w:rsidRDefault="00EA3949" w:rsidP="00EA3949"/>
        </w:tc>
        <w:tc>
          <w:tcPr>
            <w:tcW w:w="1467" w:type="dxa"/>
          </w:tcPr>
          <w:p w14:paraId="1A2071E1" w14:textId="77777777" w:rsidR="00EA3949" w:rsidRDefault="00EA3949" w:rsidP="00EA3949"/>
        </w:tc>
        <w:tc>
          <w:tcPr>
            <w:tcW w:w="1458" w:type="dxa"/>
          </w:tcPr>
          <w:p w14:paraId="69BD7C68" w14:textId="77777777" w:rsidR="00EA3949" w:rsidRDefault="00EA3949" w:rsidP="00EA3949"/>
        </w:tc>
        <w:tc>
          <w:tcPr>
            <w:tcW w:w="1325" w:type="dxa"/>
          </w:tcPr>
          <w:p w14:paraId="255AA069" w14:textId="77777777" w:rsidR="00EA3949" w:rsidRDefault="00EA3949" w:rsidP="00EA3949"/>
        </w:tc>
      </w:tr>
    </w:tbl>
    <w:p w14:paraId="34388EAC" w14:textId="77777777" w:rsidR="00A5195B" w:rsidRDefault="00A5195B">
      <w:pPr>
        <w:rPr>
          <w:rFonts w:asciiTheme="majorHAnsi" w:eastAsiaTheme="majorEastAsia" w:hAnsiTheme="majorHAnsi" w:cstheme="majorBidi"/>
          <w:i/>
          <w:iCs/>
          <w:color w:val="1F4E79"/>
        </w:rPr>
      </w:pPr>
      <w:r>
        <w:br w:type="page"/>
      </w:r>
    </w:p>
    <w:p w14:paraId="4A173E60" w14:textId="6238B304" w:rsidR="00EB70CE" w:rsidRPr="008A01DA" w:rsidRDefault="00EB70CE" w:rsidP="00EB70CE">
      <w:pPr>
        <w:pStyle w:val="Heading4"/>
      </w:pPr>
      <w:r>
        <w:lastRenderedPageBreak/>
        <w:t>School program and process data</w:t>
      </w:r>
    </w:p>
    <w:tbl>
      <w:tblPr>
        <w:tblStyle w:val="TableGrid"/>
        <w:tblW w:w="10184" w:type="dxa"/>
        <w:tblCellMar>
          <w:top w:w="57" w:type="dxa"/>
          <w:left w:w="57" w:type="dxa"/>
          <w:bottom w:w="57" w:type="dxa"/>
          <w:right w:w="57" w:type="dxa"/>
        </w:tblCellMar>
        <w:tblLook w:val="04A0" w:firstRow="1" w:lastRow="0" w:firstColumn="1" w:lastColumn="0" w:noHBand="0" w:noVBand="1"/>
      </w:tblPr>
      <w:tblGrid>
        <w:gridCol w:w="5356"/>
        <w:gridCol w:w="907"/>
        <w:gridCol w:w="784"/>
        <w:gridCol w:w="784"/>
        <w:gridCol w:w="784"/>
        <w:gridCol w:w="784"/>
        <w:gridCol w:w="785"/>
      </w:tblGrid>
      <w:tr w:rsidR="00A5195B" w14:paraId="514C11B8" w14:textId="77777777" w:rsidTr="00A5195B">
        <w:tc>
          <w:tcPr>
            <w:tcW w:w="5356" w:type="dxa"/>
            <w:shd w:val="clear" w:color="auto" w:fill="auto"/>
          </w:tcPr>
          <w:p w14:paraId="6823B6CC" w14:textId="77777777" w:rsidR="00A5195B" w:rsidRPr="006D2F6B" w:rsidRDefault="00A5195B" w:rsidP="00A5195B">
            <w:pPr>
              <w:rPr>
                <w:b/>
              </w:rPr>
            </w:pPr>
            <w:r w:rsidRPr="006D2F6B">
              <w:rPr>
                <w:b/>
              </w:rPr>
              <w:t>Targets or Measures</w:t>
            </w:r>
          </w:p>
        </w:tc>
        <w:tc>
          <w:tcPr>
            <w:tcW w:w="907" w:type="dxa"/>
            <w:shd w:val="clear" w:color="auto" w:fill="auto"/>
          </w:tcPr>
          <w:p w14:paraId="3D2899D5" w14:textId="77777777" w:rsidR="00A5195B" w:rsidRPr="006D2F6B" w:rsidRDefault="00A5195B" w:rsidP="00A5195B">
            <w:pPr>
              <w:jc w:val="center"/>
              <w:rPr>
                <w:b/>
              </w:rPr>
            </w:pPr>
            <w:r w:rsidRPr="006D2F6B">
              <w:rPr>
                <w:b/>
              </w:rPr>
              <w:t>Base</w:t>
            </w:r>
          </w:p>
        </w:tc>
        <w:tc>
          <w:tcPr>
            <w:tcW w:w="784" w:type="dxa"/>
            <w:shd w:val="clear" w:color="auto" w:fill="auto"/>
          </w:tcPr>
          <w:p w14:paraId="59A26588" w14:textId="77777777" w:rsidR="00A5195B" w:rsidRPr="006D2F6B" w:rsidRDefault="00A5195B" w:rsidP="00A5195B">
            <w:pPr>
              <w:jc w:val="center"/>
              <w:rPr>
                <w:b/>
              </w:rPr>
            </w:pPr>
            <w:r w:rsidRPr="006D2F6B">
              <w:rPr>
                <w:b/>
              </w:rPr>
              <w:t>Year 1</w:t>
            </w:r>
          </w:p>
        </w:tc>
        <w:tc>
          <w:tcPr>
            <w:tcW w:w="784" w:type="dxa"/>
            <w:shd w:val="clear" w:color="auto" w:fill="auto"/>
          </w:tcPr>
          <w:p w14:paraId="461DF47D" w14:textId="77777777" w:rsidR="00A5195B" w:rsidRPr="006D2F6B" w:rsidRDefault="00A5195B" w:rsidP="00A5195B">
            <w:pPr>
              <w:jc w:val="center"/>
              <w:rPr>
                <w:b/>
              </w:rPr>
            </w:pPr>
            <w:r w:rsidRPr="006D2F6B">
              <w:rPr>
                <w:b/>
              </w:rPr>
              <w:t>Year 2</w:t>
            </w:r>
          </w:p>
        </w:tc>
        <w:tc>
          <w:tcPr>
            <w:tcW w:w="784" w:type="dxa"/>
            <w:shd w:val="clear" w:color="auto" w:fill="auto"/>
          </w:tcPr>
          <w:p w14:paraId="06393056" w14:textId="77777777" w:rsidR="00A5195B" w:rsidRPr="006D2F6B" w:rsidRDefault="00A5195B" w:rsidP="00A5195B">
            <w:pPr>
              <w:jc w:val="center"/>
              <w:rPr>
                <w:b/>
              </w:rPr>
            </w:pPr>
            <w:r w:rsidRPr="006D2F6B">
              <w:rPr>
                <w:b/>
              </w:rPr>
              <w:t>Year 3</w:t>
            </w:r>
          </w:p>
        </w:tc>
        <w:tc>
          <w:tcPr>
            <w:tcW w:w="784" w:type="dxa"/>
            <w:shd w:val="clear" w:color="auto" w:fill="auto"/>
          </w:tcPr>
          <w:p w14:paraId="5B000D4F" w14:textId="77777777" w:rsidR="00A5195B" w:rsidRPr="006D2F6B" w:rsidRDefault="00A5195B" w:rsidP="00A5195B">
            <w:pPr>
              <w:jc w:val="center"/>
              <w:rPr>
                <w:b/>
              </w:rPr>
            </w:pPr>
            <w:r w:rsidRPr="006D2F6B">
              <w:rPr>
                <w:b/>
              </w:rPr>
              <w:t>Year 4</w:t>
            </w:r>
          </w:p>
        </w:tc>
        <w:tc>
          <w:tcPr>
            <w:tcW w:w="785" w:type="dxa"/>
            <w:shd w:val="clear" w:color="auto" w:fill="auto"/>
          </w:tcPr>
          <w:p w14:paraId="2C0B8723" w14:textId="77777777" w:rsidR="00A5195B" w:rsidRPr="006D2F6B" w:rsidRDefault="00A5195B" w:rsidP="00A5195B">
            <w:pPr>
              <w:jc w:val="center"/>
              <w:rPr>
                <w:b/>
              </w:rPr>
            </w:pPr>
            <w:r w:rsidRPr="006D2F6B">
              <w:rPr>
                <w:b/>
              </w:rPr>
              <w:t>Year 5</w:t>
            </w:r>
          </w:p>
        </w:tc>
      </w:tr>
      <w:tr w:rsidR="00A5195B" w14:paraId="7F0B5BF6" w14:textId="77777777" w:rsidTr="00A5195B">
        <w:tc>
          <w:tcPr>
            <w:tcW w:w="5356" w:type="dxa"/>
            <w:shd w:val="clear" w:color="auto" w:fill="auto"/>
          </w:tcPr>
          <w:p w14:paraId="6E50AF09" w14:textId="77777777" w:rsidR="00A5195B" w:rsidRPr="006D2F6B" w:rsidRDefault="00A5195B" w:rsidP="00A5195B">
            <w:pPr>
              <w:pStyle w:val="PlainText"/>
            </w:pPr>
            <w:r>
              <w:rPr>
                <w:color w:val="000000" w:themeColor="text1"/>
              </w:rPr>
              <w:t xml:space="preserve">100% of teachers are using ACARA work samples and rubrics to make effective judgements about student progress.    </w:t>
            </w:r>
          </w:p>
        </w:tc>
        <w:tc>
          <w:tcPr>
            <w:tcW w:w="907" w:type="dxa"/>
            <w:shd w:val="clear" w:color="auto" w:fill="auto"/>
          </w:tcPr>
          <w:p w14:paraId="2857DB64" w14:textId="77777777" w:rsidR="00A5195B" w:rsidRPr="006D2F6B" w:rsidRDefault="00A5195B" w:rsidP="00A5195B">
            <w:pPr>
              <w:jc w:val="center"/>
            </w:pPr>
            <w:r>
              <w:t>Not yet available</w:t>
            </w:r>
          </w:p>
        </w:tc>
        <w:tc>
          <w:tcPr>
            <w:tcW w:w="784" w:type="dxa"/>
            <w:shd w:val="clear" w:color="auto" w:fill="auto"/>
          </w:tcPr>
          <w:p w14:paraId="4D884D31" w14:textId="77777777" w:rsidR="00A5195B" w:rsidRPr="006D2F6B" w:rsidRDefault="00A5195B" w:rsidP="00A5195B">
            <w:pPr>
              <w:jc w:val="center"/>
            </w:pPr>
          </w:p>
        </w:tc>
        <w:tc>
          <w:tcPr>
            <w:tcW w:w="784" w:type="dxa"/>
            <w:shd w:val="clear" w:color="auto" w:fill="auto"/>
          </w:tcPr>
          <w:p w14:paraId="01061DAE" w14:textId="77777777" w:rsidR="00A5195B" w:rsidRPr="006D2F6B" w:rsidRDefault="00A5195B" w:rsidP="00A5195B">
            <w:pPr>
              <w:jc w:val="center"/>
            </w:pPr>
          </w:p>
        </w:tc>
        <w:tc>
          <w:tcPr>
            <w:tcW w:w="784" w:type="dxa"/>
            <w:shd w:val="clear" w:color="auto" w:fill="auto"/>
          </w:tcPr>
          <w:p w14:paraId="62AD5D9F" w14:textId="77777777" w:rsidR="00A5195B" w:rsidRPr="006D2F6B" w:rsidRDefault="00A5195B" w:rsidP="00A5195B">
            <w:pPr>
              <w:jc w:val="center"/>
            </w:pPr>
          </w:p>
        </w:tc>
        <w:tc>
          <w:tcPr>
            <w:tcW w:w="784" w:type="dxa"/>
            <w:shd w:val="clear" w:color="auto" w:fill="auto"/>
          </w:tcPr>
          <w:p w14:paraId="2FED8C8F" w14:textId="77777777" w:rsidR="00A5195B" w:rsidRPr="006D2F6B" w:rsidRDefault="00A5195B" w:rsidP="00A5195B">
            <w:pPr>
              <w:jc w:val="center"/>
            </w:pPr>
          </w:p>
        </w:tc>
        <w:tc>
          <w:tcPr>
            <w:tcW w:w="785" w:type="dxa"/>
            <w:shd w:val="clear" w:color="auto" w:fill="auto"/>
          </w:tcPr>
          <w:p w14:paraId="47360930" w14:textId="77777777" w:rsidR="00A5195B" w:rsidRPr="006D2F6B" w:rsidRDefault="00A5195B" w:rsidP="00A5195B">
            <w:pPr>
              <w:jc w:val="center"/>
            </w:pPr>
          </w:p>
        </w:tc>
      </w:tr>
      <w:tr w:rsidR="00A5195B" w14:paraId="7F62ABFD" w14:textId="77777777" w:rsidTr="00A5195B">
        <w:tc>
          <w:tcPr>
            <w:tcW w:w="5356" w:type="dxa"/>
            <w:shd w:val="clear" w:color="auto" w:fill="auto"/>
          </w:tcPr>
          <w:p w14:paraId="71D3F14A" w14:textId="77777777" w:rsidR="00A5195B" w:rsidRPr="006D2F6B" w:rsidRDefault="00A5195B" w:rsidP="00A5195B">
            <w:pPr>
              <w:pStyle w:val="BodyText"/>
              <w:tabs>
                <w:tab w:val="left" w:pos="1560"/>
              </w:tabs>
              <w:spacing w:before="22"/>
            </w:pPr>
            <w:r>
              <w:rPr>
                <w:color w:val="000000" w:themeColor="text1"/>
              </w:rPr>
              <w:t xml:space="preserve">100% of teachers are using differentiated planning to meet the needs of all students.     </w:t>
            </w:r>
          </w:p>
        </w:tc>
        <w:tc>
          <w:tcPr>
            <w:tcW w:w="907" w:type="dxa"/>
            <w:shd w:val="clear" w:color="auto" w:fill="auto"/>
          </w:tcPr>
          <w:p w14:paraId="6ADC86B6" w14:textId="77777777" w:rsidR="00A5195B" w:rsidRPr="006D2F6B" w:rsidRDefault="00A5195B" w:rsidP="00A5195B">
            <w:pPr>
              <w:jc w:val="center"/>
            </w:pPr>
            <w:r>
              <w:t>Not yet available</w:t>
            </w:r>
          </w:p>
        </w:tc>
        <w:tc>
          <w:tcPr>
            <w:tcW w:w="784" w:type="dxa"/>
            <w:shd w:val="clear" w:color="auto" w:fill="auto"/>
          </w:tcPr>
          <w:p w14:paraId="2928E470" w14:textId="77777777" w:rsidR="00A5195B" w:rsidRPr="006D2F6B" w:rsidRDefault="00A5195B" w:rsidP="00A5195B">
            <w:pPr>
              <w:jc w:val="center"/>
            </w:pPr>
          </w:p>
        </w:tc>
        <w:tc>
          <w:tcPr>
            <w:tcW w:w="784" w:type="dxa"/>
            <w:shd w:val="clear" w:color="auto" w:fill="auto"/>
          </w:tcPr>
          <w:p w14:paraId="20D05AF5" w14:textId="77777777" w:rsidR="00A5195B" w:rsidRPr="006D2F6B" w:rsidRDefault="00A5195B" w:rsidP="00A5195B">
            <w:pPr>
              <w:jc w:val="center"/>
            </w:pPr>
          </w:p>
        </w:tc>
        <w:tc>
          <w:tcPr>
            <w:tcW w:w="784" w:type="dxa"/>
            <w:shd w:val="clear" w:color="auto" w:fill="auto"/>
          </w:tcPr>
          <w:p w14:paraId="743E1A4E" w14:textId="77777777" w:rsidR="00A5195B" w:rsidRPr="006D2F6B" w:rsidRDefault="00A5195B" w:rsidP="00A5195B">
            <w:pPr>
              <w:jc w:val="center"/>
            </w:pPr>
          </w:p>
        </w:tc>
        <w:tc>
          <w:tcPr>
            <w:tcW w:w="784" w:type="dxa"/>
            <w:shd w:val="clear" w:color="auto" w:fill="auto"/>
          </w:tcPr>
          <w:p w14:paraId="0D84101C" w14:textId="77777777" w:rsidR="00A5195B" w:rsidRPr="006D2F6B" w:rsidRDefault="00A5195B" w:rsidP="00A5195B">
            <w:pPr>
              <w:jc w:val="center"/>
            </w:pPr>
          </w:p>
        </w:tc>
        <w:tc>
          <w:tcPr>
            <w:tcW w:w="785" w:type="dxa"/>
            <w:shd w:val="clear" w:color="auto" w:fill="auto"/>
          </w:tcPr>
          <w:p w14:paraId="1E6AB9B2" w14:textId="77777777" w:rsidR="00A5195B" w:rsidRPr="006D2F6B" w:rsidRDefault="00A5195B" w:rsidP="00A5195B">
            <w:pPr>
              <w:jc w:val="center"/>
            </w:pP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10201" w:type="dxa"/>
        <w:tblCellMar>
          <w:top w:w="113" w:type="dxa"/>
          <w:bottom w:w="113" w:type="dxa"/>
        </w:tblCellMar>
        <w:tblLook w:val="04A0" w:firstRow="1" w:lastRow="0" w:firstColumn="1" w:lastColumn="0" w:noHBand="0" w:noVBand="1"/>
      </w:tblPr>
      <w:tblGrid>
        <w:gridCol w:w="10201"/>
      </w:tblGrid>
      <w:tr w:rsidR="00EB70CE" w14:paraId="315630D6" w14:textId="77777777" w:rsidTr="00202EC9">
        <w:trPr>
          <w:trHeight w:val="401"/>
        </w:trPr>
        <w:tc>
          <w:tcPr>
            <w:tcW w:w="10201" w:type="dxa"/>
            <w:shd w:val="clear" w:color="auto" w:fill="auto"/>
          </w:tcPr>
          <w:p w14:paraId="4CBB6250" w14:textId="4BE58B12" w:rsidR="00202EC9" w:rsidRDefault="00202EC9" w:rsidP="00202EC9">
            <w:pPr>
              <w:pStyle w:val="PlainText"/>
              <w:numPr>
                <w:ilvl w:val="0"/>
                <w:numId w:val="2"/>
              </w:numPr>
              <w:ind w:left="426" w:hanging="425"/>
            </w:pPr>
            <w:r>
              <w:t>Data from NAPLAN shows an increase in growth in numeracy for students in year 5</w:t>
            </w:r>
          </w:p>
          <w:p w14:paraId="587555F9" w14:textId="6C5EF2A0" w:rsidR="00202EC9" w:rsidRDefault="00202EC9" w:rsidP="00202EC9">
            <w:pPr>
              <w:pStyle w:val="PlainText"/>
              <w:numPr>
                <w:ilvl w:val="0"/>
                <w:numId w:val="2"/>
              </w:numPr>
              <w:ind w:left="426" w:hanging="425"/>
            </w:pPr>
            <w:r>
              <w:t>Data from NAPLAN shows an increase in the number of students in the top two bands for numeracy for students in year 3</w:t>
            </w:r>
            <w:r w:rsidR="0008035D">
              <w:t xml:space="preserve"> and year 5</w:t>
            </w:r>
            <w:r>
              <w:t xml:space="preserve">. </w:t>
            </w:r>
          </w:p>
          <w:p w14:paraId="0BD136AD" w14:textId="7BB6EB55" w:rsidR="00D14C79" w:rsidRDefault="00D14C79" w:rsidP="00202EC9">
            <w:pPr>
              <w:pStyle w:val="PlainText"/>
              <w:numPr>
                <w:ilvl w:val="0"/>
                <w:numId w:val="2"/>
              </w:numPr>
              <w:ind w:left="426" w:hanging="425"/>
            </w:pPr>
            <w:r>
              <w:t xml:space="preserve">PIPS data </w:t>
            </w:r>
            <w:r w:rsidR="0008035D">
              <w:t xml:space="preserve">shows </w:t>
            </w:r>
            <w:r>
              <w:t xml:space="preserve">that students achieving expected or higher than expected growth in maths continues to be lower than for reading. </w:t>
            </w:r>
          </w:p>
          <w:p w14:paraId="207EDB94" w14:textId="1424E4F5" w:rsidR="0028048D" w:rsidRDefault="00202EC9" w:rsidP="00202EC9">
            <w:pPr>
              <w:pStyle w:val="PlainText"/>
              <w:numPr>
                <w:ilvl w:val="0"/>
                <w:numId w:val="2"/>
              </w:numPr>
              <w:ind w:left="426" w:hanging="425"/>
            </w:pPr>
            <w:r>
              <w:t xml:space="preserve">Nearly half our teachers </w:t>
            </w:r>
            <w:r w:rsidR="0028048D">
              <w:t>found the professional learning in January to be very or extremely useful for their practice.</w:t>
            </w:r>
          </w:p>
          <w:p w14:paraId="27C55838" w14:textId="77777777" w:rsidR="0028048D" w:rsidRDefault="0028048D" w:rsidP="00202EC9">
            <w:pPr>
              <w:pStyle w:val="PlainText"/>
              <w:numPr>
                <w:ilvl w:val="0"/>
                <w:numId w:val="2"/>
              </w:numPr>
              <w:ind w:left="426" w:hanging="425"/>
            </w:pPr>
            <w:r>
              <w:t xml:space="preserve">Over half our teachers </w:t>
            </w:r>
            <w:r w:rsidR="00202EC9">
              <w:t>are highly confident in</w:t>
            </w:r>
            <w:r>
              <w:t xml:space="preserve"> using the maths content from the Australian Curriculum.</w:t>
            </w:r>
          </w:p>
          <w:p w14:paraId="17DDC188" w14:textId="3FB06154" w:rsidR="00EB70CE" w:rsidRDefault="0028048D" w:rsidP="0028048D">
            <w:pPr>
              <w:pStyle w:val="PlainText"/>
              <w:numPr>
                <w:ilvl w:val="0"/>
                <w:numId w:val="2"/>
              </w:numPr>
              <w:ind w:left="426" w:hanging="425"/>
            </w:pPr>
            <w:r>
              <w:t xml:space="preserve">Nearly half our teachers are highly confident in differentiating maths in their classroom.   </w:t>
            </w:r>
          </w:p>
        </w:tc>
      </w:tr>
    </w:tbl>
    <w:p w14:paraId="529C3E95" w14:textId="0BE20FDE" w:rsidR="00937D6F" w:rsidRDefault="00937D6F" w:rsidP="00937D6F">
      <w:pPr>
        <w:pStyle w:val="Heading3"/>
      </w:pPr>
      <w:r>
        <w:t>Our achievements for this priority</w:t>
      </w:r>
    </w:p>
    <w:tbl>
      <w:tblPr>
        <w:tblStyle w:val="TableGrid"/>
        <w:tblW w:w="10201" w:type="dxa"/>
        <w:tblLook w:val="04A0" w:firstRow="1" w:lastRow="0" w:firstColumn="1" w:lastColumn="0" w:noHBand="0" w:noVBand="1"/>
      </w:tblPr>
      <w:tblGrid>
        <w:gridCol w:w="10201"/>
      </w:tblGrid>
      <w:tr w:rsidR="0028048D" w14:paraId="643D835A" w14:textId="77777777" w:rsidTr="0028048D">
        <w:trPr>
          <w:trHeight w:val="223"/>
        </w:trPr>
        <w:tc>
          <w:tcPr>
            <w:tcW w:w="10201" w:type="dxa"/>
          </w:tcPr>
          <w:p w14:paraId="33638CCE" w14:textId="77777777" w:rsidR="0028048D" w:rsidRDefault="0028048D" w:rsidP="00E12C6D">
            <w:pPr>
              <w:pStyle w:val="BodyText"/>
              <w:rPr>
                <w:b/>
              </w:rPr>
            </w:pPr>
            <w:r>
              <w:rPr>
                <w:b/>
              </w:rPr>
              <w:t>Further develop the PLC within the school to drive the school improvement priorities</w:t>
            </w:r>
          </w:p>
          <w:p w14:paraId="3145D766" w14:textId="4ACAA2F0" w:rsidR="00B91DCC" w:rsidRDefault="0028048D" w:rsidP="00E12C6D">
            <w:pPr>
              <w:pStyle w:val="ListBullet"/>
            </w:pPr>
            <w:r>
              <w:t xml:space="preserve">The PLC </w:t>
            </w:r>
            <w:r w:rsidR="00B91DCC">
              <w:t>began to focus more on developing an understanding of maths and its place within the curriculum, best practice and a whole school focus through the professional learning and developing the school’s maths vision.</w:t>
            </w:r>
          </w:p>
          <w:p w14:paraId="3A0EEA2C" w14:textId="77777777" w:rsidR="00B91DCC" w:rsidRDefault="00B91DCC" w:rsidP="00B91DCC">
            <w:pPr>
              <w:pStyle w:val="ListBullet"/>
            </w:pPr>
            <w:r>
              <w:t xml:space="preserve">The PLC within the school focused on beginning to bring consistency of practice across the school for the teaching of maths and provided the resources teachers need to teach maths effectively.  </w:t>
            </w:r>
          </w:p>
          <w:p w14:paraId="1F60C59F" w14:textId="7A2E253F" w:rsidR="0028048D" w:rsidRDefault="0028048D" w:rsidP="00E12C6D">
            <w:pPr>
              <w:pStyle w:val="ListBullet"/>
            </w:pPr>
            <w:r>
              <w:t>Teachers began to use PAT maths more consistently across years 3-6 to gather more data on their students</w:t>
            </w:r>
            <w:r w:rsidR="00B91DCC">
              <w:t xml:space="preserve"> for this learning area.</w:t>
            </w:r>
          </w:p>
          <w:p w14:paraId="5757D833" w14:textId="5A29ACE3" w:rsidR="00B91DCC" w:rsidRDefault="00B91DCC" w:rsidP="00E12C6D">
            <w:pPr>
              <w:pStyle w:val="ListBullet"/>
            </w:pPr>
            <w:r>
              <w:t xml:space="preserve">Teachers began to focus more on gaining a whole picture of students as mathematicians </w:t>
            </w:r>
            <w:r w:rsidR="00912F36">
              <w:t>using</w:t>
            </w:r>
            <w:r>
              <w:t xml:space="preserve"> PAT data and the data from NAPLAN.</w:t>
            </w:r>
          </w:p>
          <w:p w14:paraId="5D7AB038" w14:textId="77777777" w:rsidR="0028048D" w:rsidRDefault="0028048D" w:rsidP="00E12C6D">
            <w:pPr>
              <w:pStyle w:val="ListBullet"/>
              <w:numPr>
                <w:ilvl w:val="0"/>
                <w:numId w:val="0"/>
              </w:numPr>
              <w:ind w:left="360"/>
            </w:pPr>
          </w:p>
          <w:p w14:paraId="46C72B1C" w14:textId="77777777" w:rsidR="0028048D" w:rsidRDefault="0028048D" w:rsidP="00E12C6D">
            <w:pPr>
              <w:pStyle w:val="BodyText"/>
              <w:rPr>
                <w:b/>
              </w:rPr>
            </w:pPr>
            <w:r>
              <w:rPr>
                <w:b/>
              </w:rPr>
              <w:t>Preparation for 2020</w:t>
            </w:r>
          </w:p>
          <w:p w14:paraId="61CDB80C" w14:textId="77777777" w:rsidR="0028048D" w:rsidRDefault="0028048D" w:rsidP="00E12C6D">
            <w:pPr>
              <w:pStyle w:val="ListBullet"/>
            </w:pPr>
            <w:r>
              <w:t>The leadership team participated in a series of professional learning opportunities to assist them to effectively lead the PLC and PLTs within the school with a focus on student growth and the effective use of data.</w:t>
            </w:r>
          </w:p>
          <w:p w14:paraId="2C1A8D43" w14:textId="77777777" w:rsidR="0028048D" w:rsidRDefault="0028048D" w:rsidP="00E12C6D">
            <w:pPr>
              <w:pStyle w:val="ListBullet"/>
            </w:pPr>
            <w:r>
              <w:t xml:space="preserve">The school has continued to develop its understanding of a PLC and the role it plays in improved outcomes for students.      </w:t>
            </w:r>
          </w:p>
          <w:p w14:paraId="11AA0235" w14:textId="784B19C2" w:rsidR="0028048D" w:rsidRDefault="0028048D" w:rsidP="00E12C6D">
            <w:pPr>
              <w:pStyle w:val="ListBullet"/>
            </w:pPr>
            <w:r>
              <w:t xml:space="preserve">The </w:t>
            </w:r>
            <w:r w:rsidR="00F3074D">
              <w:t>Maths Committee</w:t>
            </w:r>
            <w:r>
              <w:t xml:space="preserve"> developed draft planning documents to be introduced in Semester 1 of 2020.</w:t>
            </w:r>
          </w:p>
          <w:p w14:paraId="42236DF1" w14:textId="77777777" w:rsidR="0028048D" w:rsidRPr="00CA26FB" w:rsidRDefault="0028048D" w:rsidP="00912F36">
            <w:pPr>
              <w:pStyle w:val="ListBullet"/>
              <w:numPr>
                <w:ilvl w:val="0"/>
                <w:numId w:val="0"/>
              </w:numPr>
            </w:pPr>
          </w:p>
        </w:tc>
      </w:tr>
    </w:tbl>
    <w:p w14:paraId="16392F0B" w14:textId="77777777" w:rsidR="00937D6F" w:rsidRDefault="00937D6F" w:rsidP="00937D6F">
      <w:pPr>
        <w:pStyle w:val="BodyText"/>
      </w:pPr>
    </w:p>
    <w:p w14:paraId="20E30D26" w14:textId="77777777" w:rsidR="00B91DCC" w:rsidRDefault="00B91DCC">
      <w:pPr>
        <w:rPr>
          <w:rFonts w:ascii="Arial" w:eastAsiaTheme="majorEastAsia" w:hAnsi="Arial" w:cs="Arial"/>
          <w:color w:val="1F4D78" w:themeColor="accent1" w:themeShade="7F"/>
        </w:rPr>
      </w:pPr>
      <w:r>
        <w:br w:type="page"/>
      </w:r>
    </w:p>
    <w:p w14:paraId="2ACE728B" w14:textId="7C6A9BAC" w:rsidR="00937D6F" w:rsidRDefault="00937D6F" w:rsidP="00937D6F">
      <w:pPr>
        <w:pStyle w:val="Heading3"/>
      </w:pPr>
      <w:r w:rsidRPr="00DA09ED">
        <w:lastRenderedPageBreak/>
        <w:t xml:space="preserve">Challenges we </w:t>
      </w:r>
      <w:r>
        <w:t>will address in</w:t>
      </w:r>
      <w:r w:rsidRPr="00DA09ED">
        <w:t xml:space="preserve"> our</w:t>
      </w:r>
      <w:r>
        <w:t xml:space="preserve"> next Action Plan</w:t>
      </w:r>
    </w:p>
    <w:tbl>
      <w:tblPr>
        <w:tblStyle w:val="TableGrid"/>
        <w:tblW w:w="10201" w:type="dxa"/>
        <w:tblCellMar>
          <w:top w:w="113" w:type="dxa"/>
          <w:bottom w:w="113" w:type="dxa"/>
        </w:tblCellMar>
        <w:tblLook w:val="04A0" w:firstRow="1" w:lastRow="0" w:firstColumn="1" w:lastColumn="0" w:noHBand="0" w:noVBand="1"/>
      </w:tblPr>
      <w:tblGrid>
        <w:gridCol w:w="10201"/>
      </w:tblGrid>
      <w:tr w:rsidR="00937D6F" w14:paraId="078B8E06" w14:textId="77777777" w:rsidTr="00B91DCC">
        <w:trPr>
          <w:trHeight w:val="116"/>
        </w:trPr>
        <w:tc>
          <w:tcPr>
            <w:tcW w:w="10201" w:type="dxa"/>
            <w:shd w:val="clear" w:color="auto" w:fill="auto"/>
          </w:tcPr>
          <w:p w14:paraId="22F789DE" w14:textId="77777777" w:rsidR="00B91DCC" w:rsidRDefault="00B91DCC" w:rsidP="00B91DCC">
            <w:pPr>
              <w:pStyle w:val="ListBullet"/>
              <w:numPr>
                <w:ilvl w:val="0"/>
                <w:numId w:val="0"/>
              </w:numPr>
              <w:rPr>
                <w:b/>
                <w:bCs/>
              </w:rPr>
            </w:pPr>
            <w:r w:rsidRPr="007127BF">
              <w:rPr>
                <w:b/>
                <w:bCs/>
              </w:rPr>
              <w:t>Further develop consistency of practice across the school</w:t>
            </w:r>
          </w:p>
          <w:p w14:paraId="0D70DC86" w14:textId="262EA31A" w:rsidR="00B91DCC" w:rsidRDefault="00912F36" w:rsidP="00B91DCC">
            <w:pPr>
              <w:pStyle w:val="ListBullet"/>
              <w:numPr>
                <w:ilvl w:val="0"/>
                <w:numId w:val="19"/>
              </w:numPr>
            </w:pPr>
            <w:r>
              <w:t xml:space="preserve">Continue to develop teacher’s ability to consistently use multiple sources of </w:t>
            </w:r>
            <w:r w:rsidR="00B91DCC">
              <w:t>data to drive the teaching and learning cycle with teachers using Helen Timperley’s Spiral of Inquiry to focus on student growth</w:t>
            </w:r>
            <w:r>
              <w:t>.</w:t>
            </w:r>
          </w:p>
          <w:p w14:paraId="6633E0DA" w14:textId="75F019C5" w:rsidR="00912F36" w:rsidRDefault="00912F36" w:rsidP="00B91DCC">
            <w:pPr>
              <w:pStyle w:val="ListBullet"/>
              <w:numPr>
                <w:ilvl w:val="0"/>
                <w:numId w:val="19"/>
              </w:numPr>
            </w:pPr>
            <w:r>
              <w:t>Continue to develop teachers’ use of PAT data and trial in junior classes.</w:t>
            </w:r>
          </w:p>
          <w:p w14:paraId="3DC8B01C" w14:textId="484E379D" w:rsidR="00B91DCC" w:rsidRDefault="00B91DCC" w:rsidP="00B91DCC">
            <w:pPr>
              <w:pStyle w:val="ListBullet"/>
              <w:numPr>
                <w:ilvl w:val="0"/>
                <w:numId w:val="19"/>
              </w:numPr>
            </w:pPr>
            <w:r>
              <w:t>Finalise the planning documents used across the school to ensure consistency in assessment and reporting</w:t>
            </w:r>
            <w:r w:rsidR="00912F36">
              <w:t>.</w:t>
            </w:r>
          </w:p>
          <w:p w14:paraId="7BB84D8F" w14:textId="0F3A35AE" w:rsidR="00912F36" w:rsidRDefault="00912F36" w:rsidP="00B91DCC">
            <w:pPr>
              <w:pStyle w:val="ListBullet"/>
              <w:numPr>
                <w:ilvl w:val="0"/>
                <w:numId w:val="19"/>
              </w:numPr>
            </w:pPr>
            <w:r>
              <w:t xml:space="preserve">Develop rubrics to assist with consistency of assessment and reporting. </w:t>
            </w:r>
          </w:p>
          <w:p w14:paraId="4D0D0527" w14:textId="5DD8D824" w:rsidR="00937D6F" w:rsidRDefault="00912F36" w:rsidP="00B91DCC">
            <w:pPr>
              <w:pStyle w:val="ListBullet"/>
              <w:numPr>
                <w:ilvl w:val="0"/>
                <w:numId w:val="19"/>
              </w:numPr>
              <w:spacing w:after="160" w:line="259" w:lineRule="auto"/>
            </w:pPr>
            <w:r>
              <w:t xml:space="preserve">Develop surveys to collect perception data.  </w:t>
            </w:r>
          </w:p>
        </w:tc>
      </w:tr>
    </w:tbl>
    <w:p w14:paraId="0FD44264" w14:textId="77777777" w:rsidR="00937D6F" w:rsidRDefault="00937D6F" w:rsidP="00937D6F">
      <w:pPr>
        <w:pStyle w:val="BodyText"/>
      </w:pPr>
    </w:p>
    <w:p w14:paraId="05A9A145" w14:textId="77777777" w:rsidR="00271528" w:rsidRPr="00557F65" w:rsidRDefault="00271528" w:rsidP="00E061B8">
      <w:pPr>
        <w:pStyle w:val="Heading2"/>
      </w:pPr>
      <w:r>
        <w:t>Reporting on preschool improvement</w:t>
      </w:r>
    </w:p>
    <w:p w14:paraId="579C7EB3" w14:textId="1B370386"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Schools have a choice to </w:t>
      </w:r>
      <w:r w:rsidR="00AF0BBA">
        <w:t xml:space="preserve">report progress and achievements </w:t>
      </w:r>
      <w:r>
        <w:t xml:space="preserve">either </w:t>
      </w:r>
      <w:r w:rsidR="00AF0BBA">
        <w:t xml:space="preserve">within their </w:t>
      </w:r>
      <w:r>
        <w:t xml:space="preserve">QIP </w:t>
      </w:r>
      <w:r w:rsidR="00AF0BBA">
        <w:t xml:space="preserve">or in the </w:t>
      </w:r>
      <w:r w:rsidR="00282D2C">
        <w:t>section below.</w:t>
      </w:r>
    </w:p>
    <w:tbl>
      <w:tblPr>
        <w:tblStyle w:val="TableGrid"/>
        <w:tblW w:w="10201" w:type="dxa"/>
        <w:tblCellMar>
          <w:top w:w="113" w:type="dxa"/>
          <w:bottom w:w="113" w:type="dxa"/>
        </w:tblCellMar>
        <w:tblLook w:val="04A0" w:firstRow="1" w:lastRow="0" w:firstColumn="1" w:lastColumn="0" w:noHBand="0" w:noVBand="1"/>
      </w:tblPr>
      <w:tblGrid>
        <w:gridCol w:w="10201"/>
      </w:tblGrid>
      <w:tr w:rsidR="00271528" w14:paraId="330CC8EA" w14:textId="77777777" w:rsidTr="00461DE3">
        <w:trPr>
          <w:trHeight w:val="76"/>
        </w:trPr>
        <w:tc>
          <w:tcPr>
            <w:tcW w:w="10201" w:type="dxa"/>
            <w:shd w:val="clear" w:color="auto" w:fill="auto"/>
          </w:tcPr>
          <w:p w14:paraId="2F735465" w14:textId="77777777" w:rsidR="00271528" w:rsidRDefault="00520002" w:rsidP="00520002">
            <w:pPr>
              <w:pStyle w:val="ListBullet2"/>
              <w:numPr>
                <w:ilvl w:val="0"/>
                <w:numId w:val="20"/>
              </w:numPr>
            </w:pPr>
            <w:r>
              <w:t>We have continued to keep all procedures, policies and records up to date to comply with the NQF and regulations.</w:t>
            </w:r>
          </w:p>
          <w:p w14:paraId="06D6664F" w14:textId="77777777" w:rsidR="00520002" w:rsidRDefault="00520002" w:rsidP="00520002">
            <w:pPr>
              <w:pStyle w:val="ListBullet2"/>
              <w:numPr>
                <w:ilvl w:val="0"/>
                <w:numId w:val="20"/>
              </w:numPr>
            </w:pPr>
            <w:r>
              <w:t>QIP reflected upon and updated with new actions identified.</w:t>
            </w:r>
          </w:p>
          <w:p w14:paraId="29B5806E" w14:textId="6FF272F6" w:rsidR="00520002" w:rsidRDefault="00520002" w:rsidP="00520002">
            <w:pPr>
              <w:pStyle w:val="ListBullet2"/>
              <w:numPr>
                <w:ilvl w:val="0"/>
                <w:numId w:val="20"/>
              </w:numPr>
            </w:pPr>
            <w:r>
              <w:t xml:space="preserve">Working with both sites on consistency of practice and developing a single QIP.  </w:t>
            </w:r>
          </w:p>
        </w:tc>
      </w:tr>
    </w:tbl>
    <w:p w14:paraId="0C848164" w14:textId="77777777" w:rsidR="00271528" w:rsidRDefault="00610A38" w:rsidP="009B454E">
      <w:pPr>
        <w:pStyle w:val="BodyText"/>
      </w:pPr>
      <w:r w:rsidRPr="0024781C">
        <w:rPr>
          <w:i/>
        </w:rPr>
        <w:t>*A copy of the QIP is available for viewing at the school.</w:t>
      </w:r>
    </w:p>
    <w:sectPr w:rsidR="00271528" w:rsidSect="00647FF5">
      <w:headerReference w:type="default" r:id="rId7"/>
      <w:footerReference w:type="default" r:id="rId8"/>
      <w:headerReference w:type="firs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ECF6" w14:textId="77777777" w:rsidR="00EF5012" w:rsidRDefault="00EF5012" w:rsidP="00CA0BAD">
      <w:pPr>
        <w:spacing w:after="0" w:line="240" w:lineRule="auto"/>
      </w:pPr>
      <w:r>
        <w:separator/>
      </w:r>
    </w:p>
  </w:endnote>
  <w:endnote w:type="continuationSeparator" w:id="0">
    <w:p w14:paraId="33CBC81E" w14:textId="77777777" w:rsidR="00EF5012" w:rsidRDefault="00EF5012"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1CA7B5BA" w:rsidR="00A5195B" w:rsidRPr="00BF488D" w:rsidRDefault="00A5195B"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EB3A96">
              <w:rPr>
                <w:rFonts w:ascii="Arial" w:hAnsi="Arial" w:cs="Arial"/>
                <w:noProof/>
                <w:color w:val="808080" w:themeColor="background1" w:themeShade="80"/>
                <w:sz w:val="20"/>
                <w:szCs w:val="20"/>
              </w:rPr>
              <w:t>Friday, 3 July 2020</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A5195B" w:rsidRPr="008679D5" w:rsidRDefault="00A5195B"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C63A" w14:textId="77777777" w:rsidR="00EF5012" w:rsidRDefault="00EF5012" w:rsidP="00CA0BAD">
      <w:pPr>
        <w:spacing w:after="0" w:line="240" w:lineRule="auto"/>
      </w:pPr>
      <w:r>
        <w:separator/>
      </w:r>
    </w:p>
  </w:footnote>
  <w:footnote w:type="continuationSeparator" w:id="0">
    <w:p w14:paraId="4A7E87FD" w14:textId="77777777" w:rsidR="00EF5012" w:rsidRDefault="00EF5012"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A5195B" w:rsidRDefault="00A5195B"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A5195B" w:rsidRDefault="00A5195B"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C5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6306E0"/>
    <w:multiLevelType w:val="hybridMultilevel"/>
    <w:tmpl w:val="0396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60961531"/>
    <w:multiLevelType w:val="hybridMultilevel"/>
    <w:tmpl w:val="7DF80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0789"/>
    <w:rsid w:val="000031B5"/>
    <w:rsid w:val="00030BA5"/>
    <w:rsid w:val="000338BC"/>
    <w:rsid w:val="00057DAD"/>
    <w:rsid w:val="00074D28"/>
    <w:rsid w:val="0008035D"/>
    <w:rsid w:val="000F2105"/>
    <w:rsid w:val="000F7E7C"/>
    <w:rsid w:val="00107AE2"/>
    <w:rsid w:val="00115AA9"/>
    <w:rsid w:val="00124865"/>
    <w:rsid w:val="00127C5E"/>
    <w:rsid w:val="00132917"/>
    <w:rsid w:val="00161E50"/>
    <w:rsid w:val="00163579"/>
    <w:rsid w:val="00183DE5"/>
    <w:rsid w:val="001B26EA"/>
    <w:rsid w:val="001B2E33"/>
    <w:rsid w:val="001C2063"/>
    <w:rsid w:val="001E7D19"/>
    <w:rsid w:val="001F582B"/>
    <w:rsid w:val="00202EC9"/>
    <w:rsid w:val="002145F7"/>
    <w:rsid w:val="0024781C"/>
    <w:rsid w:val="002560B4"/>
    <w:rsid w:val="00266E77"/>
    <w:rsid w:val="00271528"/>
    <w:rsid w:val="0028048D"/>
    <w:rsid w:val="00282D2C"/>
    <w:rsid w:val="002B3B6B"/>
    <w:rsid w:val="002F2C6F"/>
    <w:rsid w:val="002F4184"/>
    <w:rsid w:val="002F58E0"/>
    <w:rsid w:val="00300F72"/>
    <w:rsid w:val="00317EB0"/>
    <w:rsid w:val="00334BBF"/>
    <w:rsid w:val="00342B3F"/>
    <w:rsid w:val="00365681"/>
    <w:rsid w:val="00365890"/>
    <w:rsid w:val="00365A1C"/>
    <w:rsid w:val="00373DC0"/>
    <w:rsid w:val="00377F0F"/>
    <w:rsid w:val="003B5E3D"/>
    <w:rsid w:val="003B6D10"/>
    <w:rsid w:val="003C2864"/>
    <w:rsid w:val="003C69DC"/>
    <w:rsid w:val="003E0513"/>
    <w:rsid w:val="003E1EFB"/>
    <w:rsid w:val="00434BF3"/>
    <w:rsid w:val="00435AB7"/>
    <w:rsid w:val="00435C6B"/>
    <w:rsid w:val="00436626"/>
    <w:rsid w:val="00461D07"/>
    <w:rsid w:val="00461DE3"/>
    <w:rsid w:val="0046285D"/>
    <w:rsid w:val="00481BD2"/>
    <w:rsid w:val="00492440"/>
    <w:rsid w:val="004C32E2"/>
    <w:rsid w:val="004D00F4"/>
    <w:rsid w:val="004D4682"/>
    <w:rsid w:val="004D5E45"/>
    <w:rsid w:val="004F478B"/>
    <w:rsid w:val="00520002"/>
    <w:rsid w:val="00520A86"/>
    <w:rsid w:val="005427A8"/>
    <w:rsid w:val="00557F65"/>
    <w:rsid w:val="005611F4"/>
    <w:rsid w:val="0057672E"/>
    <w:rsid w:val="0058339C"/>
    <w:rsid w:val="0059350F"/>
    <w:rsid w:val="005A4749"/>
    <w:rsid w:val="005B1ED9"/>
    <w:rsid w:val="005C7432"/>
    <w:rsid w:val="005D00A7"/>
    <w:rsid w:val="005E76E4"/>
    <w:rsid w:val="005F36B4"/>
    <w:rsid w:val="005F3B55"/>
    <w:rsid w:val="00600597"/>
    <w:rsid w:val="00602A67"/>
    <w:rsid w:val="00610A38"/>
    <w:rsid w:val="006268D0"/>
    <w:rsid w:val="00631663"/>
    <w:rsid w:val="00647FF5"/>
    <w:rsid w:val="00657BDA"/>
    <w:rsid w:val="0066643F"/>
    <w:rsid w:val="00674E1D"/>
    <w:rsid w:val="006830C3"/>
    <w:rsid w:val="006951F6"/>
    <w:rsid w:val="006A31D6"/>
    <w:rsid w:val="006A5062"/>
    <w:rsid w:val="006D2F6B"/>
    <w:rsid w:val="007127BF"/>
    <w:rsid w:val="00722377"/>
    <w:rsid w:val="007347A7"/>
    <w:rsid w:val="007375B4"/>
    <w:rsid w:val="00752390"/>
    <w:rsid w:val="00775115"/>
    <w:rsid w:val="007B0189"/>
    <w:rsid w:val="007B7E8B"/>
    <w:rsid w:val="007D407C"/>
    <w:rsid w:val="008300DD"/>
    <w:rsid w:val="00837137"/>
    <w:rsid w:val="00846E51"/>
    <w:rsid w:val="008679D5"/>
    <w:rsid w:val="00896B58"/>
    <w:rsid w:val="008A01DA"/>
    <w:rsid w:val="008D6E52"/>
    <w:rsid w:val="008E0EAB"/>
    <w:rsid w:val="00907AA4"/>
    <w:rsid w:val="00912F36"/>
    <w:rsid w:val="00915ADE"/>
    <w:rsid w:val="0093040B"/>
    <w:rsid w:val="00932E67"/>
    <w:rsid w:val="00937D6F"/>
    <w:rsid w:val="00997CD0"/>
    <w:rsid w:val="009B454E"/>
    <w:rsid w:val="009B7107"/>
    <w:rsid w:val="009D5296"/>
    <w:rsid w:val="009E1E5C"/>
    <w:rsid w:val="009E2D26"/>
    <w:rsid w:val="00A112C4"/>
    <w:rsid w:val="00A14021"/>
    <w:rsid w:val="00A1525D"/>
    <w:rsid w:val="00A24361"/>
    <w:rsid w:val="00A50C0D"/>
    <w:rsid w:val="00A5195B"/>
    <w:rsid w:val="00A967A3"/>
    <w:rsid w:val="00AB2794"/>
    <w:rsid w:val="00AB3505"/>
    <w:rsid w:val="00AB71CD"/>
    <w:rsid w:val="00AD7B8E"/>
    <w:rsid w:val="00AD7D38"/>
    <w:rsid w:val="00AE1CAD"/>
    <w:rsid w:val="00AE2FBD"/>
    <w:rsid w:val="00AE3C70"/>
    <w:rsid w:val="00AF0BBA"/>
    <w:rsid w:val="00B06296"/>
    <w:rsid w:val="00B10319"/>
    <w:rsid w:val="00B14277"/>
    <w:rsid w:val="00B36AF4"/>
    <w:rsid w:val="00B41802"/>
    <w:rsid w:val="00B53B59"/>
    <w:rsid w:val="00B734D8"/>
    <w:rsid w:val="00B91DCC"/>
    <w:rsid w:val="00BB71EA"/>
    <w:rsid w:val="00BE00DE"/>
    <w:rsid w:val="00C0648C"/>
    <w:rsid w:val="00C06492"/>
    <w:rsid w:val="00C36B48"/>
    <w:rsid w:val="00C37538"/>
    <w:rsid w:val="00C63CC4"/>
    <w:rsid w:val="00C67756"/>
    <w:rsid w:val="00C77B0A"/>
    <w:rsid w:val="00C91C8E"/>
    <w:rsid w:val="00CA0BAD"/>
    <w:rsid w:val="00CA26FB"/>
    <w:rsid w:val="00CA685F"/>
    <w:rsid w:val="00CC484A"/>
    <w:rsid w:val="00CD62D0"/>
    <w:rsid w:val="00CE397E"/>
    <w:rsid w:val="00CE5131"/>
    <w:rsid w:val="00CE6E68"/>
    <w:rsid w:val="00CF09CB"/>
    <w:rsid w:val="00CF10F5"/>
    <w:rsid w:val="00CF3F40"/>
    <w:rsid w:val="00D03B0C"/>
    <w:rsid w:val="00D14C79"/>
    <w:rsid w:val="00D21886"/>
    <w:rsid w:val="00D35082"/>
    <w:rsid w:val="00D56F59"/>
    <w:rsid w:val="00D66148"/>
    <w:rsid w:val="00D731BD"/>
    <w:rsid w:val="00DA09ED"/>
    <w:rsid w:val="00DA4480"/>
    <w:rsid w:val="00DB037A"/>
    <w:rsid w:val="00DE43E6"/>
    <w:rsid w:val="00DE75EB"/>
    <w:rsid w:val="00DF0245"/>
    <w:rsid w:val="00DF28FB"/>
    <w:rsid w:val="00DF695B"/>
    <w:rsid w:val="00E061B8"/>
    <w:rsid w:val="00E14A54"/>
    <w:rsid w:val="00E15092"/>
    <w:rsid w:val="00E434FA"/>
    <w:rsid w:val="00E5057E"/>
    <w:rsid w:val="00EA1B8A"/>
    <w:rsid w:val="00EA3949"/>
    <w:rsid w:val="00EA4F22"/>
    <w:rsid w:val="00EB3A96"/>
    <w:rsid w:val="00EB70CE"/>
    <w:rsid w:val="00EF2574"/>
    <w:rsid w:val="00EF5012"/>
    <w:rsid w:val="00F05C79"/>
    <w:rsid w:val="00F116B1"/>
    <w:rsid w:val="00F12ECF"/>
    <w:rsid w:val="00F23F37"/>
    <w:rsid w:val="00F3074D"/>
    <w:rsid w:val="00F5210E"/>
    <w:rsid w:val="00F524A0"/>
    <w:rsid w:val="00F524FD"/>
    <w:rsid w:val="00F536D7"/>
    <w:rsid w:val="00F63F00"/>
    <w:rsid w:val="00F87A19"/>
    <w:rsid w:val="00FA6811"/>
    <w:rsid w:val="00FA6A61"/>
    <w:rsid w:val="00FB31F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Heading2">
    <w:name w:val="Num Heading 2"/>
    <w:next w:val="BodyText"/>
    <w:link w:val="NumHeading2Char"/>
    <w:qFormat/>
    <w:rsid w:val="00A24361"/>
    <w:pPr>
      <w:numPr>
        <w:numId w:val="17"/>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A24361"/>
    <w:rPr>
      <w:rFonts w:asciiTheme="majorHAnsi" w:eastAsiaTheme="majorEastAsia" w:hAnsiTheme="majorHAnsi" w:cstheme="majorBidi"/>
      <w:color w:val="1F4E79"/>
      <w:sz w:val="28"/>
      <w:szCs w:val="28"/>
    </w:rPr>
  </w:style>
  <w:style w:type="paragraph" w:customStyle="1" w:styleId="DotPointLVL1">
    <w:name w:val="Dot Point LVL1"/>
    <w:basedOn w:val="Normal"/>
    <w:qFormat/>
    <w:rsid w:val="00A24361"/>
    <w:pPr>
      <w:spacing w:after="0" w:line="240" w:lineRule="auto"/>
      <w:ind w:left="720" w:hanging="360"/>
      <w:contextualSpacing/>
    </w:pPr>
  </w:style>
  <w:style w:type="paragraph" w:customStyle="1" w:styleId="DotPointLVL2">
    <w:name w:val="Dot Point LVL2"/>
    <w:basedOn w:val="Normal"/>
    <w:qFormat/>
    <w:rsid w:val="00A24361"/>
    <w:pPr>
      <w:spacing w:after="0" w:line="240" w:lineRule="auto"/>
      <w:ind w:left="714" w:hanging="357"/>
      <w:contextualSpacing/>
    </w:pPr>
    <w:rPr>
      <w:rFonts w:ascii="Calibri" w:eastAsia="Calibri" w:hAnsi="Calibri" w:cs="Calibri"/>
      <w: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6E4F1C"/>
    <w:rsid w:val="008B6DE0"/>
    <w:rsid w:val="008F4B21"/>
    <w:rsid w:val="00C85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Collis, Tania</cp:lastModifiedBy>
  <cp:revision>2</cp:revision>
  <cp:lastPrinted>2020-03-18T22:04:00Z</cp:lastPrinted>
  <dcterms:created xsi:type="dcterms:W3CDTF">2020-07-03T02:27:00Z</dcterms:created>
  <dcterms:modified xsi:type="dcterms:W3CDTF">2020-07-03T02:27:00Z</dcterms:modified>
</cp:coreProperties>
</file>